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884" w:rsidRDefault="00AB7884">
      <w:pPr>
        <w:jc w:val="center"/>
        <w:rPr>
          <w:rFonts w:ascii="Verdana" w:hAnsi="Verdana" w:cs="Verdana"/>
          <w:b/>
          <w:bCs/>
          <w:sz w:val="24"/>
          <w:szCs w:val="24"/>
          <w:lang w:val="en-US"/>
        </w:rPr>
      </w:pPr>
    </w:p>
    <w:p w:rsidR="00AB7884" w:rsidRDefault="00AB7884">
      <w:pPr>
        <w:rPr>
          <w:rFonts w:ascii="Verdana" w:hAnsi="Verdana" w:cs="Verdana"/>
          <w:b/>
          <w:bCs/>
          <w:sz w:val="24"/>
          <w:szCs w:val="24"/>
          <w:lang w:val="en-US"/>
        </w:rPr>
      </w:pPr>
    </w:p>
    <w:p w:rsidR="00AB7884" w:rsidRDefault="00717A10">
      <w:pPr>
        <w:ind w:left="2241"/>
        <w:rPr>
          <w:sz w:val="24"/>
          <w:szCs w:val="24"/>
        </w:rPr>
      </w:pPr>
      <w:r w:rsidRPr="00717A10">
        <w:rPr>
          <w:noProof/>
          <w:lang w:val="en-US"/>
        </w:rPr>
        <w:pict>
          <v:rect id="_x0000_s1026" style="position:absolute;left:0;text-align:left;margin-left:0;margin-top:-29.15pt;width:90pt;height:126pt;z-index:2" fillcolor="black">
            <v:textbox>
              <w:txbxContent>
                <w:p w:rsidR="00C175F5" w:rsidRDefault="00C175F5">
                  <w:pPr>
                    <w:jc w:val="center"/>
                    <w:rPr>
                      <w:rFonts w:ascii="Verdana" w:hAnsi="Verdana" w:cs="Verdana"/>
                      <w:b/>
                      <w:bCs/>
                      <w:sz w:val="24"/>
                      <w:szCs w:val="24"/>
                      <w:lang w:val="en-US"/>
                    </w:rPr>
                  </w:pPr>
                </w:p>
                <w:p w:rsidR="00C175F5" w:rsidRDefault="00C175F5">
                  <w:pPr>
                    <w:jc w:val="center"/>
                    <w:rPr>
                      <w:rFonts w:ascii="Verdana" w:hAnsi="Verdana" w:cs="Verdana"/>
                      <w:b/>
                      <w:bCs/>
                      <w:sz w:val="24"/>
                      <w:szCs w:val="24"/>
                      <w:lang w:val="en-US"/>
                    </w:rPr>
                  </w:pPr>
                </w:p>
                <w:p w:rsidR="00C175F5" w:rsidRDefault="00C175F5">
                  <w:pPr>
                    <w:jc w:val="center"/>
                    <w:rPr>
                      <w:rFonts w:ascii="Trebuchet MS" w:hAnsi="Trebuchet MS" w:cs="Trebuchet MS"/>
                      <w:b/>
                      <w:bCs/>
                      <w:sz w:val="96"/>
                      <w:szCs w:val="96"/>
                      <w:lang w:val="en-US"/>
                    </w:rPr>
                  </w:pPr>
                  <w:r>
                    <w:rPr>
                      <w:rFonts w:ascii="Trebuchet MS" w:hAnsi="Trebuchet MS" w:cs="Trebuchet MS"/>
                      <w:b/>
                      <w:bCs/>
                      <w:sz w:val="96"/>
                      <w:szCs w:val="96"/>
                      <w:shd w:val="clear" w:color="auto" w:fill="0C0C0C"/>
                      <w:lang w:val="en-US"/>
                    </w:rPr>
                    <w:t>2</w:t>
                  </w:r>
                </w:p>
                <w:p w:rsidR="00C175F5" w:rsidRDefault="00C175F5">
                  <w:pPr>
                    <w:jc w:val="center"/>
                    <w:rPr>
                      <w:rFonts w:ascii="Trebuchet MS" w:hAnsi="Trebuchet MS" w:cs="Trebuchet MS"/>
                      <w:b/>
                      <w:bCs/>
                      <w:sz w:val="96"/>
                      <w:szCs w:val="96"/>
                      <w:lang w:val="en-US"/>
                    </w:rPr>
                  </w:pPr>
                </w:p>
                <w:p w:rsidR="00C175F5" w:rsidRDefault="00C175F5">
                  <w:pPr>
                    <w:jc w:val="center"/>
                    <w:rPr>
                      <w:rFonts w:ascii="Trebuchet MS" w:hAnsi="Trebuchet MS" w:cs="Trebuchet MS"/>
                      <w:b/>
                      <w:bCs/>
                      <w:sz w:val="96"/>
                      <w:szCs w:val="96"/>
                      <w:lang w:val="en-US"/>
                    </w:rPr>
                  </w:pPr>
                </w:p>
                <w:p w:rsidR="00C175F5" w:rsidRDefault="00C175F5">
                  <w:pPr>
                    <w:jc w:val="center"/>
                    <w:rPr>
                      <w:rFonts w:ascii="Trebuchet MS" w:hAnsi="Trebuchet MS" w:cs="Trebuchet MS"/>
                      <w:b/>
                      <w:bCs/>
                      <w:sz w:val="96"/>
                      <w:szCs w:val="96"/>
                      <w:lang w:val="en-US"/>
                    </w:rPr>
                  </w:pPr>
                </w:p>
              </w:txbxContent>
            </v:textbox>
          </v:rect>
        </w:pict>
      </w:r>
      <w:r w:rsidR="00AB7884">
        <w:rPr>
          <w:rFonts w:ascii="Verdana" w:hAnsi="Verdana" w:cs="Verdana"/>
          <w:b/>
          <w:bCs/>
          <w:sz w:val="52"/>
          <w:szCs w:val="52"/>
        </w:rPr>
        <w:t xml:space="preserve">Globalisation and its Impact on Health </w:t>
      </w:r>
    </w:p>
    <w:p w:rsidR="00AB7884" w:rsidRDefault="00AB7884">
      <w:pPr>
        <w:pStyle w:val="CH11"/>
        <w:keepLines/>
        <w:pBdr>
          <w:bottom w:val="single" w:sz="48" w:space="1" w:color="auto"/>
        </w:pBdr>
        <w:rPr>
          <w:rFonts w:ascii="Arial" w:hAnsi="Arial" w:cs="Arial"/>
          <w:sz w:val="24"/>
          <w:szCs w:val="24"/>
        </w:rPr>
      </w:pPr>
    </w:p>
    <w:p w:rsidR="00AB7884" w:rsidRDefault="00AB7884">
      <w:pPr>
        <w:pStyle w:val="CH11"/>
        <w:keepLines/>
        <w:pBdr>
          <w:bottom w:val="single" w:sz="48" w:space="1" w:color="auto"/>
        </w:pBdr>
        <w:rPr>
          <w:rFonts w:ascii="Arial" w:hAnsi="Arial" w:cs="Arial"/>
          <w:sz w:val="24"/>
          <w:szCs w:val="24"/>
        </w:rPr>
      </w:pPr>
    </w:p>
    <w:p w:rsidR="00AB7884" w:rsidRDefault="00AB7884">
      <w:pPr>
        <w:pStyle w:val="CH11"/>
        <w:keepLines/>
        <w:pBdr>
          <w:bottom w:val="single" w:sz="48" w:space="1" w:color="auto"/>
        </w:pBdr>
        <w:rPr>
          <w:rFonts w:ascii="Arial" w:hAnsi="Arial" w:cs="Arial"/>
          <w:sz w:val="24"/>
          <w:szCs w:val="24"/>
        </w:rPr>
      </w:pPr>
    </w:p>
    <w:p w:rsidR="00AB7884" w:rsidRDefault="00AB7884">
      <w:pPr>
        <w:rPr>
          <w:rFonts w:ascii="Times New Roman" w:hAnsi="Times New Roman" w:cs="Times New Roman"/>
        </w:rPr>
      </w:pPr>
    </w:p>
    <w:p w:rsidR="00AB7884" w:rsidRDefault="00AB7884">
      <w:pPr>
        <w:spacing w:before="120" w:after="120"/>
        <w:rPr>
          <w:rFonts w:ascii="Trebuchet MS" w:hAnsi="Trebuchet MS" w:cs="Trebuchet MS"/>
          <w:b/>
          <w:bCs/>
          <w:sz w:val="28"/>
          <w:szCs w:val="28"/>
        </w:rPr>
      </w:pPr>
      <w:r>
        <w:rPr>
          <w:rFonts w:ascii="Trebuchet MS" w:hAnsi="Trebuchet MS" w:cs="Trebuchet MS"/>
          <w:b/>
          <w:bCs/>
          <w:sz w:val="28"/>
          <w:szCs w:val="28"/>
        </w:rPr>
        <w:t>Introduction</w:t>
      </w:r>
    </w:p>
    <w:p w:rsidR="00AB7884" w:rsidRDefault="00AB7884">
      <w:pPr>
        <w:spacing w:after="200"/>
        <w:rPr>
          <w:sz w:val="22"/>
          <w:szCs w:val="22"/>
          <w:lang w:eastAsia="en-ZA"/>
        </w:rPr>
      </w:pPr>
      <w:r>
        <w:rPr>
          <w:sz w:val="22"/>
          <w:szCs w:val="22"/>
        </w:rPr>
        <w:t xml:space="preserve">Globalisation is not a new phenomenon. Global relations have existed for hundreds of years, as humankind has continually pushed against boundaries, expanded into new territories, found new trading partners, and </w:t>
      </w:r>
      <w:r>
        <w:rPr>
          <w:sz w:val="22"/>
          <w:szCs w:val="22"/>
          <w:lang w:eastAsia="en-ZA"/>
        </w:rPr>
        <w:t xml:space="preserve">merged into new groups and cultures. </w:t>
      </w:r>
    </w:p>
    <w:p w:rsidR="00AB7884" w:rsidRDefault="00AB7884">
      <w:pPr>
        <w:spacing w:after="200"/>
        <w:rPr>
          <w:sz w:val="22"/>
          <w:szCs w:val="22"/>
        </w:rPr>
      </w:pPr>
      <w:r>
        <w:rPr>
          <w:sz w:val="22"/>
          <w:szCs w:val="22"/>
          <w:lang w:eastAsia="en-ZA"/>
        </w:rPr>
        <w:t xml:space="preserve">We begin this unit by discussing the evolution and economic agenda of ‘contemporary’ globalisation, from post-World War II onwards. </w:t>
      </w:r>
      <w:r>
        <w:rPr>
          <w:sz w:val="22"/>
          <w:szCs w:val="22"/>
        </w:rPr>
        <w:t xml:space="preserve">In Sessions 2 and 3 we focus more specifically on how global trade impacts on access to food and access to pharmaceuticals and the consequences this has for health. </w:t>
      </w:r>
    </w:p>
    <w:p w:rsidR="00AB7884" w:rsidRDefault="00AB7884">
      <w:pPr>
        <w:pStyle w:val="PlainText"/>
        <w:tabs>
          <w:tab w:val="left" w:pos="4740"/>
        </w:tabs>
        <w:spacing w:before="360" w:after="120"/>
        <w:rPr>
          <w:rFonts w:ascii="Trebuchet MS" w:hAnsi="Trebuchet MS" w:cs="Trebuchet MS"/>
          <w:b/>
          <w:bCs/>
          <w:sz w:val="28"/>
          <w:szCs w:val="28"/>
        </w:rPr>
      </w:pPr>
      <w:r>
        <w:rPr>
          <w:rFonts w:ascii="Trebuchet MS" w:hAnsi="Trebuchet MS" w:cs="Trebuchet MS"/>
          <w:b/>
          <w:bCs/>
          <w:sz w:val="28"/>
          <w:szCs w:val="28"/>
        </w:rPr>
        <w:t>Study Sessions</w:t>
      </w:r>
      <w:r>
        <w:rPr>
          <w:rFonts w:ascii="Trebuchet MS" w:hAnsi="Trebuchet MS" w:cs="Trebuchet MS"/>
          <w:b/>
          <w:bCs/>
          <w:sz w:val="28"/>
          <w:szCs w:val="28"/>
        </w:rPr>
        <w:tab/>
      </w:r>
    </w:p>
    <w:p w:rsidR="00AB7884" w:rsidRDefault="00AB7884">
      <w:pPr>
        <w:pStyle w:val="PlainText"/>
        <w:spacing w:before="120" w:after="120"/>
        <w:rPr>
          <w:rFonts w:ascii="Arial" w:hAnsi="Arial" w:cs="Arial"/>
          <w:b/>
          <w:bCs/>
          <w:sz w:val="22"/>
          <w:szCs w:val="22"/>
        </w:rPr>
      </w:pPr>
      <w:r>
        <w:rPr>
          <w:rFonts w:ascii="Arial" w:hAnsi="Arial" w:cs="Arial"/>
          <w:b/>
          <w:bCs/>
          <w:sz w:val="22"/>
          <w:szCs w:val="22"/>
        </w:rPr>
        <w:t>There are three study sessions in Unit 2:</w:t>
      </w:r>
    </w:p>
    <w:p w:rsidR="00AB7884" w:rsidRDefault="00AB7884">
      <w:pPr>
        <w:pStyle w:val="PlainText"/>
        <w:rPr>
          <w:rFonts w:ascii="Arial" w:hAnsi="Arial" w:cs="Arial"/>
          <w:sz w:val="22"/>
          <w:szCs w:val="22"/>
        </w:rPr>
      </w:pPr>
      <w:r>
        <w:rPr>
          <w:rFonts w:ascii="Arial" w:hAnsi="Arial" w:cs="Arial"/>
          <w:sz w:val="22"/>
          <w:szCs w:val="22"/>
        </w:rPr>
        <w:t>Study Session 1</w:t>
      </w:r>
      <w:r>
        <w:rPr>
          <w:rFonts w:ascii="Arial" w:hAnsi="Arial" w:cs="Arial"/>
          <w:sz w:val="22"/>
          <w:szCs w:val="22"/>
        </w:rPr>
        <w:tab/>
        <w:t xml:space="preserve">How has contemporary globalisation evolved? </w:t>
      </w:r>
    </w:p>
    <w:p w:rsidR="00AB7884" w:rsidRDefault="00AB7884">
      <w:pPr>
        <w:ind w:left="2160" w:right="39" w:hanging="2160"/>
        <w:rPr>
          <w:sz w:val="22"/>
          <w:szCs w:val="22"/>
        </w:rPr>
      </w:pPr>
      <w:r>
        <w:rPr>
          <w:sz w:val="22"/>
          <w:szCs w:val="22"/>
        </w:rPr>
        <w:t>Study Session 2</w:t>
      </w:r>
      <w:r>
        <w:rPr>
          <w:sz w:val="22"/>
          <w:szCs w:val="22"/>
        </w:rPr>
        <w:tab/>
        <w:t xml:space="preserve">How does the global food trade affect the health of communities? </w:t>
      </w:r>
    </w:p>
    <w:p w:rsidR="00AB7884" w:rsidRDefault="00AB7884">
      <w:pPr>
        <w:ind w:left="2160" w:right="39" w:hanging="2160"/>
        <w:rPr>
          <w:sz w:val="22"/>
          <w:szCs w:val="22"/>
        </w:rPr>
      </w:pPr>
      <w:r>
        <w:rPr>
          <w:sz w:val="22"/>
          <w:szCs w:val="22"/>
        </w:rPr>
        <w:t>Study Session 3</w:t>
      </w:r>
      <w:r>
        <w:rPr>
          <w:sz w:val="22"/>
          <w:szCs w:val="22"/>
        </w:rPr>
        <w:tab/>
        <w:t>How does the global pharmaceutical trade affect the health of communities?</w:t>
      </w:r>
    </w:p>
    <w:p w:rsidR="00AB7884" w:rsidRDefault="00AB7884">
      <w:pPr>
        <w:spacing w:before="360" w:after="120"/>
        <w:rPr>
          <w:rFonts w:ascii="Trebuchet MS" w:hAnsi="Trebuchet MS" w:cs="Trebuchet MS"/>
          <w:b/>
          <w:bCs/>
          <w:sz w:val="28"/>
          <w:szCs w:val="28"/>
        </w:rPr>
      </w:pPr>
      <w:r>
        <w:rPr>
          <w:rFonts w:ascii="Trebuchet MS" w:hAnsi="Trebuchet MS" w:cs="Trebuchet MS"/>
          <w:b/>
          <w:bCs/>
          <w:sz w:val="28"/>
          <w:szCs w:val="28"/>
        </w:rPr>
        <w:t xml:space="preserve">Intended learning outcomes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0"/>
      </w:tblGrid>
      <w:tr w:rsidR="00AB7884" w:rsidRPr="0034040D">
        <w:trPr>
          <w:trHeight w:val="545"/>
        </w:trPr>
        <w:tc>
          <w:tcPr>
            <w:tcW w:w="8460" w:type="dxa"/>
          </w:tcPr>
          <w:p w:rsidR="00AB7884" w:rsidRPr="0034040D" w:rsidRDefault="00AB7884">
            <w:pP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By the end of this unit, you should be able to:</w:t>
            </w:r>
          </w:p>
        </w:tc>
      </w:tr>
      <w:tr w:rsidR="00AB7884" w:rsidRPr="0034040D">
        <w:trPr>
          <w:cantSplit/>
          <w:trHeight w:val="1069"/>
        </w:trPr>
        <w:tc>
          <w:tcPr>
            <w:tcW w:w="8460" w:type="dxa"/>
          </w:tcPr>
          <w:p w:rsidR="00AB7884" w:rsidRPr="0034040D" w:rsidRDefault="00AB7884">
            <w:pPr>
              <w:numPr>
                <w:ilvl w:val="0"/>
                <w:numId w:val="4"/>
              </w:numPr>
              <w:spacing w:before="120"/>
              <w:ind w:left="357" w:hanging="357"/>
              <w:rPr>
                <w:rFonts w:eastAsiaTheme="minorEastAsia"/>
                <w:sz w:val="22"/>
                <w:szCs w:val="22"/>
              </w:rPr>
            </w:pPr>
            <w:r w:rsidRPr="0034040D">
              <w:rPr>
                <w:rFonts w:eastAsiaTheme="minorEastAsia"/>
                <w:sz w:val="22"/>
                <w:szCs w:val="22"/>
                <w:lang w:val="en-ZA" w:eastAsia="en-ZA"/>
              </w:rPr>
              <w:t>Critically appraise existing evidence of links between globalisation and health.</w:t>
            </w:r>
          </w:p>
          <w:p w:rsidR="00AB7884" w:rsidRPr="0034040D" w:rsidRDefault="00AB7884">
            <w:pPr>
              <w:numPr>
                <w:ilvl w:val="0"/>
                <w:numId w:val="4"/>
              </w:numPr>
              <w:spacing w:after="120"/>
              <w:ind w:left="357" w:hanging="357"/>
              <w:rPr>
                <w:rFonts w:eastAsiaTheme="minorEastAsia"/>
                <w:sz w:val="22"/>
                <w:szCs w:val="22"/>
              </w:rPr>
            </w:pPr>
            <w:r w:rsidRPr="0034040D">
              <w:rPr>
                <w:rFonts w:eastAsiaTheme="minorEastAsia"/>
                <w:sz w:val="22"/>
                <w:szCs w:val="22"/>
                <w:lang w:val="en-ZA" w:eastAsia="en-ZA"/>
              </w:rPr>
              <w:t xml:space="preserve">Explain the relationship between health/health care and key aspects of global trade. </w:t>
            </w:r>
          </w:p>
        </w:tc>
      </w:tr>
    </w:tbl>
    <w:p w:rsidR="00AB7884" w:rsidRDefault="00AB7884">
      <w:pPr>
        <w:pStyle w:val="PlainText"/>
        <w:rPr>
          <w:rFonts w:ascii="Arial" w:hAnsi="Arial" w:cs="Arial"/>
          <w:b/>
          <w:bCs/>
          <w:spacing w:val="40"/>
          <w:sz w:val="22"/>
          <w:szCs w:val="22"/>
        </w:rPr>
      </w:pPr>
    </w:p>
    <w:p w:rsidR="00AB7884" w:rsidRDefault="00AB7884">
      <w:pPr>
        <w:spacing w:after="200"/>
        <w:rPr>
          <w:rFonts w:ascii="Verdana" w:hAnsi="Verdana" w:cs="Verdana"/>
          <w:b/>
          <w:bCs/>
          <w:spacing w:val="40"/>
          <w:sz w:val="52"/>
          <w:szCs w:val="52"/>
        </w:rPr>
      </w:pPr>
    </w:p>
    <w:p w:rsidR="00AB7884" w:rsidRDefault="00AB7884">
      <w:pPr>
        <w:spacing w:after="200"/>
        <w:rPr>
          <w:rFonts w:ascii="Verdana" w:hAnsi="Verdana" w:cs="Verdana"/>
          <w:b/>
          <w:bCs/>
          <w:sz w:val="52"/>
          <w:szCs w:val="52"/>
        </w:rPr>
      </w:pPr>
      <w:r>
        <w:rPr>
          <w:rFonts w:ascii="Verdana" w:hAnsi="Verdana" w:cs="Verdana"/>
          <w:b/>
          <w:bCs/>
          <w:spacing w:val="40"/>
          <w:sz w:val="52"/>
          <w:szCs w:val="52"/>
        </w:rPr>
        <w:br w:type="page"/>
      </w:r>
      <w:r w:rsidR="00E05378">
        <w:rPr>
          <w:rFonts w:ascii="Verdana" w:hAnsi="Verdana" w:cs="Verdana"/>
          <w:b/>
          <w:bCs/>
          <w:spacing w:val="40"/>
          <w:sz w:val="52"/>
          <w:szCs w:val="52"/>
        </w:rPr>
        <w:lastRenderedPageBreak/>
        <w:br w:type="page"/>
      </w:r>
      <w:r>
        <w:rPr>
          <w:rFonts w:ascii="Verdana" w:hAnsi="Verdana" w:cs="Verdana"/>
          <w:b/>
          <w:bCs/>
          <w:spacing w:val="40"/>
          <w:sz w:val="52"/>
          <w:szCs w:val="52"/>
        </w:rPr>
        <w:lastRenderedPageBreak/>
        <w:t>Unit 2 -</w:t>
      </w:r>
      <w:r>
        <w:rPr>
          <w:rFonts w:ascii="Calibri" w:hAnsi="Calibri" w:cs="Calibri"/>
          <w:b/>
          <w:bCs/>
          <w:spacing w:val="40"/>
          <w:sz w:val="52"/>
          <w:szCs w:val="52"/>
        </w:rPr>
        <w:t xml:space="preserve"> </w:t>
      </w:r>
      <w:r>
        <w:rPr>
          <w:rFonts w:ascii="Verdana" w:hAnsi="Verdana" w:cs="Verdana"/>
          <w:b/>
          <w:bCs/>
          <w:sz w:val="52"/>
          <w:szCs w:val="52"/>
        </w:rPr>
        <w:t>Session 1</w:t>
      </w:r>
    </w:p>
    <w:p w:rsidR="00AB7884" w:rsidRDefault="00AB7884">
      <w:pPr>
        <w:pStyle w:val="PlainText"/>
        <w:rPr>
          <w:rFonts w:ascii="Verdana" w:hAnsi="Verdana" w:cs="Verdana"/>
          <w:b/>
          <w:bCs/>
          <w:sz w:val="52"/>
          <w:szCs w:val="52"/>
        </w:rPr>
      </w:pPr>
      <w:r>
        <w:rPr>
          <w:rFonts w:ascii="Verdana" w:hAnsi="Verdana" w:cs="Verdana"/>
          <w:b/>
          <w:bCs/>
          <w:sz w:val="52"/>
          <w:szCs w:val="52"/>
        </w:rPr>
        <w:t xml:space="preserve">How has Contemporary Globalisation Evolved?  </w:t>
      </w:r>
      <w:r w:rsidR="00717A10" w:rsidRPr="00717A10">
        <w:rPr>
          <w:rFonts w:ascii="Verdana" w:hAnsi="Verdana" w:cs="Verdana"/>
          <w:b/>
          <w:bCs/>
          <w:sz w:val="52"/>
          <w:szCs w:val="52"/>
        </w:rPr>
        <w:pict>
          <v:rect id="_x0000_i1025" style="width:425.25pt;height:6pt" o:hrpct="0" o:hrstd="t" o:hrnoshade="t" o:hr="t" fillcolor="black" stroked="f"/>
        </w:pict>
      </w:r>
    </w:p>
    <w:p w:rsidR="00AB7884" w:rsidRDefault="00AB7884">
      <w:pPr>
        <w:pStyle w:val="Heading1"/>
        <w:rPr>
          <w:rFonts w:ascii="Trebuchet MS" w:hAnsi="Trebuchet MS" w:cs="Trebuchet MS"/>
          <w:sz w:val="28"/>
          <w:szCs w:val="28"/>
        </w:rPr>
      </w:pPr>
      <w:r>
        <w:rPr>
          <w:rFonts w:ascii="Trebuchet MS" w:hAnsi="Trebuchet MS" w:cs="Trebuchet MS"/>
          <w:sz w:val="28"/>
          <w:szCs w:val="28"/>
        </w:rPr>
        <w:t>Introduction</w:t>
      </w:r>
    </w:p>
    <w:p w:rsidR="00AB7884" w:rsidRDefault="00AB7884" w:rsidP="004823AB">
      <w:pPr>
        <w:autoSpaceDE w:val="0"/>
        <w:autoSpaceDN w:val="0"/>
        <w:adjustRightInd w:val="0"/>
        <w:spacing w:before="240"/>
        <w:ind w:left="720"/>
        <w:rPr>
          <w:rFonts w:ascii="Trebuchet MS" w:hAnsi="Trebuchet MS" w:cs="Trebuchet MS"/>
          <w:sz w:val="22"/>
          <w:szCs w:val="22"/>
          <w:lang w:val="en-ZA"/>
        </w:rPr>
      </w:pPr>
      <w:r>
        <w:rPr>
          <w:rFonts w:ascii="Trebuchet MS" w:hAnsi="Trebuchet MS" w:cs="Trebuchet MS"/>
          <w:sz w:val="22"/>
          <w:szCs w:val="22"/>
          <w:lang w:val="en-ZA"/>
        </w:rPr>
        <w:t>“</w:t>
      </w:r>
      <w:r>
        <w:rPr>
          <w:rFonts w:ascii="Trebuchet MS" w:hAnsi="Trebuchet MS" w:cs="Trebuchet MS"/>
          <w:i/>
          <w:iCs/>
          <w:sz w:val="22"/>
          <w:szCs w:val="22"/>
          <w:lang w:val="en-ZA"/>
        </w:rPr>
        <w:t>We are participants in a long march to a global economy. Since the end of World War II, economic forces have been unleashed that are creating the first worldwide economic system regulated largely by market forces. Government-imposed restraints on the free flow of trade, investment, and technology have diminished sharply, and a liberal international economic order has been created that has profound implications for the future. Indeed, I contend that economic globalization is bound to affect not only the way we earn our living but also our political institutions, the natural environment, and the pace of cultural interchange</w:t>
      </w:r>
      <w:r>
        <w:rPr>
          <w:rFonts w:ascii="Trebuchet MS" w:hAnsi="Trebuchet MS" w:cs="Trebuchet MS"/>
          <w:sz w:val="22"/>
          <w:szCs w:val="22"/>
          <w:lang w:val="en-ZA"/>
        </w:rPr>
        <w:t xml:space="preserve">” (Griffin, 1999). </w:t>
      </w:r>
    </w:p>
    <w:p w:rsidR="00AB7884" w:rsidRDefault="00AB7884">
      <w:pPr>
        <w:tabs>
          <w:tab w:val="left" w:pos="8364"/>
        </w:tabs>
        <w:rPr>
          <w:b/>
          <w:bCs/>
          <w:sz w:val="28"/>
          <w:szCs w:val="28"/>
        </w:rPr>
      </w:pPr>
    </w:p>
    <w:p w:rsidR="00AB7884" w:rsidRDefault="00AB7884">
      <w:pPr>
        <w:tabs>
          <w:tab w:val="left" w:pos="8505"/>
        </w:tabs>
        <w:rPr>
          <w:sz w:val="22"/>
          <w:szCs w:val="22"/>
        </w:rPr>
      </w:pPr>
      <w:r>
        <w:rPr>
          <w:sz w:val="22"/>
          <w:szCs w:val="22"/>
        </w:rPr>
        <w:t xml:space="preserve">In this session we discuss the ‘long march to a global economy’ from the 1940s through to the present day, unpacking how global economic policies have developed to maintain economic globalisation. We end the session with the second article in the three-part series by Labonté and Schrecker (2007), which discusses the various domains of globalisation, linking these to changes in access to the social determinants of health. </w:t>
      </w:r>
    </w:p>
    <w:p w:rsidR="00AB7884" w:rsidRDefault="00AB7884">
      <w:pPr>
        <w:spacing w:before="360" w:after="120"/>
        <w:ind w:right="1332"/>
        <w:rPr>
          <w:rFonts w:ascii="Trebuchet MS" w:hAnsi="Trebuchet MS" w:cs="Trebuchet MS"/>
          <w:b/>
          <w:bCs/>
          <w:kern w:val="32"/>
          <w:sz w:val="28"/>
          <w:szCs w:val="28"/>
        </w:rPr>
      </w:pPr>
      <w:r>
        <w:rPr>
          <w:rFonts w:ascii="Trebuchet MS" w:hAnsi="Trebuchet MS" w:cs="Trebuchet MS"/>
          <w:b/>
          <w:bCs/>
          <w:kern w:val="32"/>
          <w:sz w:val="28"/>
          <w:szCs w:val="28"/>
        </w:rPr>
        <w:t xml:space="preserve">Contents </w:t>
      </w:r>
    </w:p>
    <w:p w:rsidR="00AB7884" w:rsidRDefault="00AB7884">
      <w:pPr>
        <w:ind w:right="1332"/>
        <w:rPr>
          <w:sz w:val="22"/>
          <w:szCs w:val="22"/>
        </w:rPr>
      </w:pPr>
      <w:r>
        <w:rPr>
          <w:sz w:val="22"/>
          <w:szCs w:val="22"/>
        </w:rPr>
        <w:t>1</w:t>
      </w:r>
      <w:r>
        <w:rPr>
          <w:sz w:val="22"/>
          <w:szCs w:val="22"/>
        </w:rPr>
        <w:tab/>
        <w:t>Learning outcomes of this session</w:t>
      </w:r>
    </w:p>
    <w:p w:rsidR="00AB7884" w:rsidRDefault="00AB7884">
      <w:pPr>
        <w:ind w:right="1332"/>
        <w:rPr>
          <w:sz w:val="22"/>
          <w:szCs w:val="22"/>
        </w:rPr>
      </w:pPr>
      <w:r>
        <w:rPr>
          <w:sz w:val="22"/>
          <w:szCs w:val="22"/>
        </w:rPr>
        <w:t>2</w:t>
      </w:r>
      <w:r>
        <w:rPr>
          <w:sz w:val="22"/>
          <w:szCs w:val="22"/>
        </w:rPr>
        <w:tab/>
        <w:t xml:space="preserve">Readings </w:t>
      </w:r>
    </w:p>
    <w:p w:rsidR="00AB7884" w:rsidRDefault="00AB7884">
      <w:pPr>
        <w:ind w:right="39"/>
        <w:rPr>
          <w:sz w:val="22"/>
          <w:szCs w:val="22"/>
        </w:rPr>
      </w:pPr>
      <w:r>
        <w:rPr>
          <w:sz w:val="22"/>
          <w:szCs w:val="22"/>
        </w:rPr>
        <w:t>3</w:t>
      </w:r>
      <w:r>
        <w:rPr>
          <w:sz w:val="22"/>
          <w:szCs w:val="22"/>
        </w:rPr>
        <w:tab/>
        <w:t>How did we get here?</w:t>
      </w:r>
    </w:p>
    <w:p w:rsidR="00AB7884" w:rsidRDefault="00AB7884">
      <w:pPr>
        <w:ind w:right="39"/>
        <w:rPr>
          <w:sz w:val="22"/>
          <w:szCs w:val="22"/>
        </w:rPr>
      </w:pPr>
      <w:r>
        <w:rPr>
          <w:sz w:val="22"/>
          <w:szCs w:val="22"/>
        </w:rPr>
        <w:t xml:space="preserve">4. </w:t>
      </w:r>
      <w:r>
        <w:rPr>
          <w:sz w:val="22"/>
          <w:szCs w:val="22"/>
        </w:rPr>
        <w:tab/>
        <w:t>What drives globalisation?</w:t>
      </w:r>
    </w:p>
    <w:p w:rsidR="00AB7884" w:rsidRDefault="00AB7884">
      <w:pPr>
        <w:ind w:right="39"/>
        <w:rPr>
          <w:sz w:val="22"/>
          <w:szCs w:val="22"/>
        </w:rPr>
      </w:pPr>
      <w:r>
        <w:rPr>
          <w:sz w:val="22"/>
          <w:szCs w:val="22"/>
        </w:rPr>
        <w:t xml:space="preserve">5. </w:t>
      </w:r>
      <w:r>
        <w:rPr>
          <w:sz w:val="22"/>
          <w:szCs w:val="22"/>
        </w:rPr>
        <w:tab/>
        <w:t xml:space="preserve">From globalisation to the social determinants of health (SDH) </w:t>
      </w:r>
    </w:p>
    <w:p w:rsidR="00AB7884" w:rsidRDefault="00AB7884">
      <w:pPr>
        <w:ind w:right="39"/>
        <w:rPr>
          <w:sz w:val="22"/>
          <w:szCs w:val="22"/>
        </w:rPr>
      </w:pPr>
      <w:r>
        <w:rPr>
          <w:sz w:val="22"/>
          <w:szCs w:val="22"/>
        </w:rPr>
        <w:t xml:space="preserve">6. </w:t>
      </w:r>
      <w:r>
        <w:rPr>
          <w:sz w:val="22"/>
          <w:szCs w:val="22"/>
        </w:rPr>
        <w:tab/>
        <w:t xml:space="preserve">Session summary </w:t>
      </w:r>
    </w:p>
    <w:p w:rsidR="00AB7884" w:rsidRDefault="00AB7884">
      <w:pPr>
        <w:ind w:right="1332"/>
        <w:rPr>
          <w:sz w:val="22"/>
          <w:szCs w:val="22"/>
        </w:rPr>
      </w:pPr>
      <w:r>
        <w:rPr>
          <w:sz w:val="22"/>
          <w:szCs w:val="22"/>
        </w:rPr>
        <w:t xml:space="preserve">7. </w:t>
      </w:r>
      <w:r>
        <w:rPr>
          <w:sz w:val="22"/>
          <w:szCs w:val="22"/>
        </w:rPr>
        <w:tab/>
        <w:t>References</w:t>
      </w:r>
      <w:bookmarkStart w:id="0" w:name="_GoBack"/>
      <w:bookmarkEnd w:id="0"/>
      <w:r>
        <w:rPr>
          <w:sz w:val="22"/>
          <w:szCs w:val="22"/>
        </w:rPr>
        <w:t xml:space="preserve"> and further reading</w:t>
      </w:r>
    </w:p>
    <w:p w:rsidR="00AB7884" w:rsidRDefault="00AB7884">
      <w:pPr>
        <w:pStyle w:val="Heading1"/>
        <w:tabs>
          <w:tab w:val="left" w:pos="540"/>
        </w:tabs>
        <w:spacing w:before="360"/>
        <w:rPr>
          <w:rFonts w:ascii="Trebuchet MS" w:hAnsi="Trebuchet MS" w:cs="Trebuchet MS"/>
          <w:sz w:val="28"/>
          <w:szCs w:val="28"/>
        </w:rPr>
      </w:pPr>
      <w:r>
        <w:rPr>
          <w:rFonts w:ascii="Trebuchet MS" w:hAnsi="Trebuchet MS" w:cs="Trebuchet MS"/>
          <w:sz w:val="28"/>
          <w:szCs w:val="28"/>
        </w:rPr>
        <w:t>Timing of this session</w:t>
      </w:r>
    </w:p>
    <w:p w:rsidR="00AB7884" w:rsidRDefault="00AB7884">
      <w:pPr>
        <w:tabs>
          <w:tab w:val="left" w:pos="540"/>
        </w:tabs>
        <w:rPr>
          <w:sz w:val="22"/>
          <w:szCs w:val="22"/>
        </w:rPr>
      </w:pPr>
      <w:r>
        <w:rPr>
          <w:sz w:val="22"/>
          <w:szCs w:val="22"/>
        </w:rPr>
        <w:t xml:space="preserve">There are four readings and four tasks in this session. It is likely to take you up to six hours to complete. </w:t>
      </w:r>
    </w:p>
    <w:p w:rsidR="00AB7884" w:rsidRDefault="00AB7884">
      <w:pPr>
        <w:pStyle w:val="Heading2"/>
        <w:rPr>
          <w:rFonts w:ascii="Trebuchet MS" w:hAnsi="Trebuchet MS" w:cs="Trebuchet MS"/>
          <w:color w:val="FF0000"/>
          <w:sz w:val="24"/>
          <w:szCs w:val="24"/>
        </w:rPr>
      </w:pPr>
      <w:r>
        <w:rPr>
          <w:rFonts w:ascii="Trebuchet MS" w:hAnsi="Trebuchet MS" w:cs="Trebuchet MS"/>
          <w:b w:val="0"/>
          <w:bCs w:val="0"/>
          <w:sz w:val="28"/>
          <w:szCs w:val="28"/>
        </w:rPr>
        <w:br w:type="page"/>
      </w:r>
      <w:r>
        <w:rPr>
          <w:rFonts w:ascii="Trebuchet MS" w:hAnsi="Trebuchet MS" w:cs="Trebuchet MS"/>
          <w:sz w:val="28"/>
          <w:szCs w:val="28"/>
        </w:rPr>
        <w:lastRenderedPageBreak/>
        <w:t xml:space="preserve">1 </w:t>
      </w:r>
      <w:r>
        <w:rPr>
          <w:rFonts w:ascii="Trebuchet MS" w:hAnsi="Trebuchet MS" w:cs="Trebuchet MS"/>
          <w:sz w:val="28"/>
          <w:szCs w:val="28"/>
        </w:rPr>
        <w:tab/>
        <w:t>LEARNING OUTCOMES FOR THIS SESSION</w:t>
      </w:r>
      <w:r>
        <w:rPr>
          <w:rFonts w:ascii="Trebuchet MS" w:hAnsi="Trebuchet MS" w:cs="Trebuchet MS"/>
        </w:rPr>
        <w:tab/>
        <w:t xml:space="preserve"> </w:t>
      </w:r>
    </w:p>
    <w:p w:rsidR="00AB7884" w:rsidRDefault="00717A10">
      <w:pPr>
        <w:rPr>
          <w:rFonts w:ascii="Trebuchet MS" w:hAnsi="Trebuchet MS" w:cs="Trebuchet MS"/>
          <w:b/>
          <w:bCs/>
          <w:sz w:val="18"/>
          <w:szCs w:val="18"/>
        </w:rPr>
      </w:pPr>
      <w:r w:rsidRPr="00717A10">
        <w:rPr>
          <w:color w:val="FF0000"/>
          <w:sz w:val="24"/>
          <w:szCs w:val="24"/>
        </w:rPr>
        <w:pict>
          <v:rect id="_x0000_i1026" style="width:425.2pt;height:2pt" o:hralign="center" o:hrstd="t" o:hrnoshade="t" o:hr="t" fillcolor="black" stroked="f"/>
        </w:pict>
      </w:r>
    </w:p>
    <w:p w:rsidR="00AB7884" w:rsidRDefault="00AB788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0"/>
      </w:tblGrid>
      <w:tr w:rsidR="00AB7884" w:rsidRPr="0034040D" w:rsidTr="0021531A">
        <w:trPr>
          <w:trHeight w:val="490"/>
        </w:trPr>
        <w:tc>
          <w:tcPr>
            <w:tcW w:w="8460" w:type="dxa"/>
          </w:tcPr>
          <w:p w:rsidR="00AB7884" w:rsidRPr="0034040D" w:rsidRDefault="00AB7884">
            <w:pP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By the end of this session, you should be able to:</w:t>
            </w:r>
          </w:p>
        </w:tc>
      </w:tr>
      <w:tr w:rsidR="00AB7884" w:rsidRPr="0034040D" w:rsidTr="0021531A">
        <w:trPr>
          <w:cantSplit/>
          <w:trHeight w:val="1069"/>
        </w:trPr>
        <w:tc>
          <w:tcPr>
            <w:tcW w:w="8460" w:type="dxa"/>
          </w:tcPr>
          <w:p w:rsidR="00AB7884" w:rsidRPr="0034040D" w:rsidRDefault="00AB7884">
            <w:pPr>
              <w:pStyle w:val="PlainText"/>
              <w:numPr>
                <w:ilvl w:val="0"/>
                <w:numId w:val="4"/>
              </w:numPr>
              <w:spacing w:before="120"/>
              <w:ind w:left="357" w:hanging="357"/>
              <w:rPr>
                <w:rFonts w:ascii="Arial" w:eastAsiaTheme="minorEastAsia" w:hAnsi="Arial" w:cs="Arial"/>
                <w:sz w:val="22"/>
                <w:szCs w:val="22"/>
              </w:rPr>
            </w:pPr>
            <w:r w:rsidRPr="0034040D">
              <w:rPr>
                <w:rFonts w:ascii="Arial" w:eastAsiaTheme="minorEastAsia" w:hAnsi="Arial" w:cs="Arial"/>
                <w:sz w:val="22"/>
                <w:szCs w:val="22"/>
              </w:rPr>
              <w:t>Explain how contemporary globalisation has evolved.</w:t>
            </w:r>
          </w:p>
          <w:p w:rsidR="00AB7884" w:rsidRPr="0034040D" w:rsidRDefault="00AB7884">
            <w:pPr>
              <w:pStyle w:val="PlainText"/>
              <w:numPr>
                <w:ilvl w:val="0"/>
                <w:numId w:val="4"/>
              </w:numPr>
              <w:rPr>
                <w:rFonts w:ascii="Arial" w:eastAsiaTheme="minorEastAsia" w:hAnsi="Arial" w:cs="Arial"/>
                <w:sz w:val="22"/>
                <w:szCs w:val="22"/>
              </w:rPr>
            </w:pPr>
            <w:r w:rsidRPr="0034040D">
              <w:rPr>
                <w:rFonts w:ascii="Arial" w:eastAsiaTheme="minorEastAsia" w:hAnsi="Arial" w:cs="Arial"/>
                <w:sz w:val="22"/>
                <w:szCs w:val="22"/>
              </w:rPr>
              <w:t>Discuss the domains of globalisation.</w:t>
            </w:r>
          </w:p>
          <w:p w:rsidR="00AB7884" w:rsidRPr="0034040D" w:rsidRDefault="00AB7884">
            <w:pPr>
              <w:pStyle w:val="PlainText"/>
              <w:numPr>
                <w:ilvl w:val="0"/>
                <w:numId w:val="4"/>
              </w:numPr>
              <w:rPr>
                <w:rFonts w:ascii="Arial" w:eastAsiaTheme="minorEastAsia" w:hAnsi="Arial" w:cs="Arial"/>
                <w:sz w:val="22"/>
                <w:szCs w:val="22"/>
              </w:rPr>
            </w:pPr>
            <w:r w:rsidRPr="0034040D">
              <w:rPr>
                <w:rFonts w:ascii="Arial" w:eastAsiaTheme="minorEastAsia" w:hAnsi="Arial" w:cs="Arial"/>
                <w:sz w:val="22"/>
                <w:szCs w:val="22"/>
              </w:rPr>
              <w:t>Explain the drivers that promote and maintain economic globalisation.</w:t>
            </w:r>
          </w:p>
          <w:p w:rsidR="00AB7884" w:rsidRPr="0034040D" w:rsidRDefault="00AB7884">
            <w:pPr>
              <w:pStyle w:val="PlainText"/>
              <w:numPr>
                <w:ilvl w:val="0"/>
                <w:numId w:val="4"/>
              </w:numPr>
              <w:spacing w:after="120"/>
              <w:ind w:left="357" w:hanging="357"/>
              <w:rPr>
                <w:rFonts w:ascii="Times New Roman" w:eastAsiaTheme="minorEastAsia" w:hAnsi="Times New Roman" w:cs="Times New Roman"/>
                <w:sz w:val="22"/>
                <w:szCs w:val="22"/>
              </w:rPr>
            </w:pPr>
            <w:r w:rsidRPr="0034040D">
              <w:rPr>
                <w:rFonts w:ascii="Arial" w:eastAsiaTheme="minorEastAsia" w:hAnsi="Arial" w:cs="Arial"/>
                <w:sz w:val="22"/>
                <w:szCs w:val="22"/>
              </w:rPr>
              <w:t>Read about the cluster of pathways that lead from globalisation to changes in the SDH which are relevant to health equity.</w:t>
            </w:r>
          </w:p>
        </w:tc>
      </w:tr>
    </w:tbl>
    <w:p w:rsidR="00BF4266" w:rsidRPr="00BF4266" w:rsidRDefault="00BF4266" w:rsidP="00BF4266">
      <w:pPr>
        <w:pStyle w:val="Heading2"/>
        <w:spacing w:before="120"/>
        <w:rPr>
          <w:rFonts w:ascii="Trebuchet MS" w:hAnsi="Trebuchet MS" w:cs="Trebuchet MS"/>
          <w:sz w:val="22"/>
          <w:szCs w:val="22"/>
        </w:rPr>
      </w:pPr>
    </w:p>
    <w:p w:rsidR="00AB7884" w:rsidRDefault="00AB7884" w:rsidP="00BF4266">
      <w:pPr>
        <w:pStyle w:val="Heading2"/>
        <w:spacing w:before="240"/>
        <w:rPr>
          <w:rFonts w:ascii="Trebuchet MS" w:hAnsi="Trebuchet MS" w:cs="Trebuchet MS"/>
          <w:color w:val="FF0000"/>
          <w:sz w:val="24"/>
          <w:szCs w:val="24"/>
        </w:rPr>
      </w:pPr>
      <w:r>
        <w:rPr>
          <w:rFonts w:ascii="Trebuchet MS" w:hAnsi="Trebuchet MS" w:cs="Trebuchet MS"/>
          <w:sz w:val="28"/>
          <w:szCs w:val="28"/>
        </w:rPr>
        <w:t xml:space="preserve">2 </w:t>
      </w:r>
      <w:r>
        <w:rPr>
          <w:rFonts w:ascii="Trebuchet MS" w:hAnsi="Trebuchet MS" w:cs="Trebuchet MS"/>
          <w:sz w:val="28"/>
          <w:szCs w:val="28"/>
        </w:rPr>
        <w:tab/>
        <w:t xml:space="preserve">READINGS </w:t>
      </w:r>
      <w:r>
        <w:rPr>
          <w:rFonts w:ascii="Trebuchet MS" w:hAnsi="Trebuchet MS" w:cs="Trebuchet MS"/>
        </w:rPr>
        <w:tab/>
        <w:t xml:space="preserve"> </w:t>
      </w:r>
    </w:p>
    <w:p w:rsidR="00AB7884" w:rsidRDefault="00717A10">
      <w:pPr>
        <w:rPr>
          <w:rFonts w:ascii="Trebuchet MS" w:hAnsi="Trebuchet MS" w:cs="Trebuchet MS"/>
          <w:b/>
          <w:bCs/>
          <w:sz w:val="18"/>
          <w:szCs w:val="18"/>
        </w:rPr>
      </w:pPr>
      <w:r w:rsidRPr="00717A10">
        <w:rPr>
          <w:color w:val="FF0000"/>
          <w:sz w:val="24"/>
          <w:szCs w:val="24"/>
        </w:rPr>
        <w:pict>
          <v:rect id="_x0000_i1027" style="width:425.2pt;height:2pt" o:hralign="center" o:hrstd="t" o:hrnoshade="t" o:hr="t" fillcolor="black" stroked="f"/>
        </w:pict>
      </w:r>
    </w:p>
    <w:p w:rsidR="00AB7884" w:rsidRDefault="00AB7884"/>
    <w:tbl>
      <w:tblPr>
        <w:tblW w:w="485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654"/>
        <w:gridCol w:w="5805"/>
      </w:tblGrid>
      <w:tr w:rsidR="00AB7884" w:rsidRPr="0034040D" w:rsidTr="0021531A">
        <w:tc>
          <w:tcPr>
            <w:tcW w:w="1569" w:type="pct"/>
            <w:tcBorders>
              <w:right w:val="single" w:sz="4" w:space="0" w:color="auto"/>
            </w:tcBorders>
          </w:tcPr>
          <w:p w:rsidR="00AB7884" w:rsidRPr="0034040D" w:rsidRDefault="00AB7884">
            <w:pPr>
              <w:autoSpaceDE w:val="0"/>
              <w:autoSpaceDN w:val="0"/>
              <w:adjustRightInd w:val="0"/>
              <w:spacing w:before="120" w:after="120"/>
              <w:rPr>
                <w:rFonts w:eastAsiaTheme="minorEastAsia"/>
                <w:b/>
                <w:bCs/>
                <w:sz w:val="22"/>
                <w:szCs w:val="22"/>
              </w:rPr>
            </w:pPr>
            <w:r w:rsidRPr="0034040D">
              <w:rPr>
                <w:rFonts w:eastAsiaTheme="minorEastAsia"/>
                <w:b/>
                <w:bCs/>
                <w:sz w:val="22"/>
                <w:szCs w:val="22"/>
              </w:rPr>
              <w:t>Author/s</w:t>
            </w:r>
          </w:p>
        </w:tc>
        <w:tc>
          <w:tcPr>
            <w:tcW w:w="3431" w:type="pct"/>
            <w:tcBorders>
              <w:left w:val="single" w:sz="4" w:space="0" w:color="auto"/>
            </w:tcBorders>
          </w:tcPr>
          <w:p w:rsidR="00AB7884" w:rsidRPr="0034040D" w:rsidRDefault="00AB7884">
            <w:pPr>
              <w:spacing w:before="120" w:after="120"/>
              <w:rPr>
                <w:rFonts w:eastAsiaTheme="minorEastAsia"/>
                <w:b/>
                <w:bCs/>
                <w:sz w:val="22"/>
                <w:szCs w:val="22"/>
              </w:rPr>
            </w:pPr>
            <w:r w:rsidRPr="0034040D">
              <w:rPr>
                <w:rFonts w:eastAsiaTheme="minorEastAsia"/>
                <w:b/>
                <w:bCs/>
                <w:sz w:val="22"/>
                <w:szCs w:val="22"/>
              </w:rPr>
              <w:t>Reference</w:t>
            </w:r>
          </w:p>
        </w:tc>
      </w:tr>
      <w:tr w:rsidR="00AB7884" w:rsidRPr="0034040D" w:rsidTr="0021531A">
        <w:tc>
          <w:tcPr>
            <w:tcW w:w="1569" w:type="pct"/>
            <w:tcBorders>
              <w:right w:val="single" w:sz="4" w:space="0" w:color="auto"/>
            </w:tcBorders>
          </w:tcPr>
          <w:p w:rsidR="00AB7884" w:rsidRPr="0034040D" w:rsidRDefault="00AB7884">
            <w:pPr>
              <w:autoSpaceDE w:val="0"/>
              <w:autoSpaceDN w:val="0"/>
              <w:adjustRightInd w:val="0"/>
              <w:spacing w:before="120" w:after="120"/>
              <w:rPr>
                <w:rFonts w:eastAsiaTheme="minorEastAsia"/>
                <w:sz w:val="22"/>
                <w:szCs w:val="22"/>
              </w:rPr>
            </w:pPr>
            <w:r w:rsidRPr="0034040D">
              <w:rPr>
                <w:rFonts w:eastAsiaTheme="minorEastAsia"/>
                <w:sz w:val="22"/>
                <w:szCs w:val="22"/>
              </w:rPr>
              <w:t>Rennen, W. &amp; Martens, P.</w:t>
            </w:r>
          </w:p>
        </w:tc>
        <w:tc>
          <w:tcPr>
            <w:tcW w:w="3431" w:type="pct"/>
            <w:tcBorders>
              <w:left w:val="single" w:sz="4" w:space="0" w:color="auto"/>
            </w:tcBorders>
          </w:tcPr>
          <w:p w:rsidR="00AB7884" w:rsidRPr="0034040D" w:rsidRDefault="00AB7884">
            <w:pPr>
              <w:spacing w:before="120" w:after="120"/>
              <w:rPr>
                <w:rFonts w:eastAsiaTheme="minorEastAsia"/>
                <w:sz w:val="22"/>
                <w:szCs w:val="22"/>
              </w:rPr>
            </w:pPr>
            <w:r w:rsidRPr="0034040D">
              <w:rPr>
                <w:rFonts w:eastAsiaTheme="minorEastAsia"/>
                <w:sz w:val="22"/>
                <w:szCs w:val="22"/>
              </w:rPr>
              <w:t xml:space="preserve">(2003). </w:t>
            </w:r>
            <w:r w:rsidRPr="0034040D">
              <w:rPr>
                <w:rFonts w:eastAsiaTheme="minorEastAsia"/>
                <w:i/>
                <w:iCs/>
                <w:sz w:val="22"/>
                <w:szCs w:val="22"/>
              </w:rPr>
              <w:t>The Globalisation Timeline, Integrated Assessment 2003</w:t>
            </w:r>
            <w:r w:rsidRPr="0034040D">
              <w:rPr>
                <w:rFonts w:eastAsiaTheme="minorEastAsia"/>
                <w:sz w:val="22"/>
                <w:szCs w:val="22"/>
              </w:rPr>
              <w:t xml:space="preserve">, 4:(3):137–144. </w:t>
            </w:r>
          </w:p>
        </w:tc>
      </w:tr>
      <w:tr w:rsidR="00AB7884" w:rsidRPr="0034040D" w:rsidTr="0021531A">
        <w:tc>
          <w:tcPr>
            <w:tcW w:w="1569" w:type="pct"/>
            <w:tcBorders>
              <w:right w:val="single" w:sz="4" w:space="0" w:color="auto"/>
            </w:tcBorders>
          </w:tcPr>
          <w:p w:rsidR="00AB7884" w:rsidRPr="0034040D" w:rsidRDefault="00AB7884">
            <w:pPr>
              <w:autoSpaceDE w:val="0"/>
              <w:autoSpaceDN w:val="0"/>
              <w:adjustRightInd w:val="0"/>
              <w:spacing w:before="120" w:after="120"/>
              <w:rPr>
                <w:rFonts w:eastAsiaTheme="minorEastAsia"/>
                <w:b/>
                <w:bCs/>
                <w:sz w:val="22"/>
                <w:szCs w:val="22"/>
              </w:rPr>
            </w:pPr>
            <w:r w:rsidRPr="0034040D">
              <w:rPr>
                <w:rFonts w:eastAsiaTheme="minorEastAsia"/>
                <w:sz w:val="22"/>
                <w:szCs w:val="22"/>
              </w:rPr>
              <w:t xml:space="preserve">Rudin, J. &amp; Sanders, D. </w:t>
            </w:r>
          </w:p>
          <w:p w:rsidR="00AB7884" w:rsidRPr="0034040D" w:rsidRDefault="00AB7884">
            <w:pPr>
              <w:autoSpaceDE w:val="0"/>
              <w:autoSpaceDN w:val="0"/>
              <w:adjustRightInd w:val="0"/>
              <w:spacing w:before="120" w:after="120"/>
              <w:rPr>
                <w:rFonts w:eastAsiaTheme="minorEastAsia"/>
                <w:sz w:val="22"/>
                <w:szCs w:val="22"/>
                <w:lang w:val="en-US"/>
              </w:rPr>
            </w:pPr>
          </w:p>
        </w:tc>
        <w:tc>
          <w:tcPr>
            <w:tcW w:w="3431" w:type="pct"/>
            <w:tcBorders>
              <w:left w:val="single" w:sz="4" w:space="0" w:color="auto"/>
            </w:tcBorders>
          </w:tcPr>
          <w:p w:rsidR="00AB7884" w:rsidRPr="0034040D" w:rsidRDefault="00AB7884">
            <w:pPr>
              <w:autoSpaceDE w:val="0"/>
              <w:autoSpaceDN w:val="0"/>
              <w:adjustRightInd w:val="0"/>
              <w:spacing w:before="120" w:after="120"/>
              <w:rPr>
                <w:rFonts w:eastAsiaTheme="minorEastAsia"/>
                <w:sz w:val="22"/>
                <w:szCs w:val="22"/>
                <w:lang w:val="en-US"/>
              </w:rPr>
            </w:pPr>
            <w:r w:rsidRPr="0034040D">
              <w:rPr>
                <w:rFonts w:eastAsiaTheme="minorEastAsia"/>
                <w:sz w:val="22"/>
                <w:szCs w:val="22"/>
              </w:rPr>
              <w:t xml:space="preserve">(2011). Debt, Structural Adjustment and Health. In: S. Benatar &amp; G. Brock (Eds). </w:t>
            </w:r>
            <w:r w:rsidRPr="0034040D">
              <w:rPr>
                <w:rFonts w:eastAsiaTheme="minorEastAsia"/>
                <w:i/>
                <w:iCs/>
                <w:sz w:val="22"/>
                <w:szCs w:val="22"/>
              </w:rPr>
              <w:t>Global Health and Global Health Ethics</w:t>
            </w:r>
            <w:r w:rsidRPr="0034040D">
              <w:rPr>
                <w:rFonts w:eastAsiaTheme="minorEastAsia"/>
                <w:sz w:val="22"/>
                <w:szCs w:val="22"/>
              </w:rPr>
              <w:t xml:space="preserve">, Cambridge University Press: 155-165. </w:t>
            </w:r>
          </w:p>
        </w:tc>
      </w:tr>
      <w:tr w:rsidR="00AB7884" w:rsidRPr="0034040D" w:rsidTr="0021531A">
        <w:tc>
          <w:tcPr>
            <w:tcW w:w="1569" w:type="pct"/>
            <w:tcBorders>
              <w:right w:val="single" w:sz="4" w:space="0" w:color="auto"/>
            </w:tcBorders>
          </w:tcPr>
          <w:p w:rsidR="00AB7884" w:rsidRPr="0034040D" w:rsidRDefault="00AB7884">
            <w:pPr>
              <w:pStyle w:val="Heading1"/>
              <w:rPr>
                <w:rFonts w:eastAsiaTheme="minorEastAsia"/>
                <w:b w:val="0"/>
                <w:bCs w:val="0"/>
                <w:sz w:val="22"/>
                <w:szCs w:val="22"/>
              </w:rPr>
            </w:pPr>
            <w:r w:rsidRPr="0034040D">
              <w:rPr>
                <w:rFonts w:eastAsiaTheme="minorEastAsia"/>
                <w:b w:val="0"/>
                <w:bCs w:val="0"/>
                <w:sz w:val="22"/>
                <w:szCs w:val="22"/>
              </w:rPr>
              <w:t>Schifferes, S.</w:t>
            </w:r>
          </w:p>
          <w:p w:rsidR="00AB7884" w:rsidRPr="0034040D" w:rsidRDefault="00AB7884">
            <w:pPr>
              <w:spacing w:before="120" w:after="120"/>
              <w:rPr>
                <w:rFonts w:eastAsiaTheme="minorEastAsia"/>
                <w:sz w:val="22"/>
                <w:szCs w:val="22"/>
              </w:rPr>
            </w:pPr>
          </w:p>
        </w:tc>
        <w:tc>
          <w:tcPr>
            <w:tcW w:w="3431" w:type="pct"/>
            <w:tcBorders>
              <w:left w:val="single" w:sz="4" w:space="0" w:color="auto"/>
            </w:tcBorders>
          </w:tcPr>
          <w:p w:rsidR="00AB7884" w:rsidRPr="005A5796" w:rsidRDefault="00AB7884" w:rsidP="00BF4266">
            <w:pPr>
              <w:pStyle w:val="Heading1"/>
              <w:rPr>
                <w:rFonts w:eastAsiaTheme="minorEastAsia"/>
                <w:sz w:val="22"/>
                <w:szCs w:val="22"/>
              </w:rPr>
            </w:pPr>
            <w:r w:rsidRPr="005A5796">
              <w:rPr>
                <w:rFonts w:eastAsiaTheme="minorEastAsia"/>
                <w:b w:val="0"/>
                <w:bCs w:val="0"/>
                <w:sz w:val="22"/>
                <w:szCs w:val="22"/>
              </w:rPr>
              <w:t xml:space="preserve">(2008). How Bretton Woods reshaped the world, </w:t>
            </w:r>
            <w:r w:rsidRPr="005A5796">
              <w:rPr>
                <w:rFonts w:eastAsiaTheme="minorEastAsia"/>
                <w:b w:val="0"/>
                <w:bCs w:val="0"/>
                <w:i/>
                <w:iCs/>
                <w:sz w:val="22"/>
                <w:szCs w:val="22"/>
              </w:rPr>
              <w:t>BBC News</w:t>
            </w:r>
            <w:r w:rsidRPr="005A5796">
              <w:rPr>
                <w:rFonts w:eastAsiaTheme="minorEastAsia"/>
                <w:b w:val="0"/>
                <w:bCs w:val="0"/>
                <w:sz w:val="22"/>
                <w:szCs w:val="22"/>
              </w:rPr>
              <w:t xml:space="preserve">. [Online], Available:  </w:t>
            </w:r>
            <w:hyperlink r:id="rId7" w:history="1">
              <w:r w:rsidRPr="005A5796">
                <w:rPr>
                  <w:rStyle w:val="Hyperlink"/>
                  <w:rFonts w:ascii="Arial" w:eastAsiaTheme="minorEastAsia" w:hAnsi="Arial" w:cs="Arial"/>
                  <w:b w:val="0"/>
                  <w:bCs w:val="0"/>
                  <w:sz w:val="22"/>
                  <w:szCs w:val="22"/>
                  <w:u w:val="none"/>
                </w:rPr>
                <w:t>http://news.bbc.co.uk/2/hi/7725157.stm</w:t>
              </w:r>
            </w:hyperlink>
            <w:r w:rsidRPr="005A5796">
              <w:rPr>
                <w:rFonts w:eastAsiaTheme="minorEastAsia"/>
                <w:b w:val="0"/>
                <w:bCs w:val="0"/>
                <w:sz w:val="22"/>
                <w:szCs w:val="22"/>
              </w:rPr>
              <w:t>. [Downloaded: 21 September 2011]</w:t>
            </w:r>
            <w:r w:rsidR="00BF4266">
              <w:rPr>
                <w:rFonts w:eastAsiaTheme="minorEastAsia"/>
                <w:b w:val="0"/>
                <w:bCs w:val="0"/>
                <w:sz w:val="22"/>
                <w:szCs w:val="22"/>
              </w:rPr>
              <w:t xml:space="preserve"> [4 pages].</w:t>
            </w:r>
          </w:p>
        </w:tc>
      </w:tr>
      <w:tr w:rsidR="00AB7884" w:rsidRPr="0034040D" w:rsidTr="0021531A">
        <w:tc>
          <w:tcPr>
            <w:tcW w:w="1569" w:type="pct"/>
            <w:tcBorders>
              <w:right w:val="single" w:sz="4" w:space="0" w:color="auto"/>
            </w:tcBorders>
          </w:tcPr>
          <w:p w:rsidR="00AB7884" w:rsidRPr="0034040D" w:rsidRDefault="00AB7884">
            <w:pPr>
              <w:spacing w:before="120" w:after="120"/>
              <w:rPr>
                <w:rFonts w:eastAsiaTheme="minorEastAsia"/>
                <w:b/>
                <w:bCs/>
                <w:sz w:val="22"/>
                <w:szCs w:val="22"/>
              </w:rPr>
            </w:pPr>
            <w:r w:rsidRPr="0034040D">
              <w:rPr>
                <w:rFonts w:eastAsiaTheme="minorEastAsia"/>
                <w:sz w:val="22"/>
                <w:szCs w:val="22"/>
              </w:rPr>
              <w:t xml:space="preserve">Labonte, R. &amp; Schrecker, T. </w:t>
            </w:r>
          </w:p>
        </w:tc>
        <w:tc>
          <w:tcPr>
            <w:tcW w:w="3431" w:type="pct"/>
            <w:tcBorders>
              <w:left w:val="single" w:sz="4" w:space="0" w:color="auto"/>
            </w:tcBorders>
          </w:tcPr>
          <w:p w:rsidR="00AB7884" w:rsidRPr="0034040D" w:rsidRDefault="00AB7884">
            <w:pPr>
              <w:spacing w:before="120" w:after="120"/>
              <w:rPr>
                <w:rFonts w:eastAsiaTheme="minorEastAsia"/>
                <w:b/>
                <w:bCs/>
                <w:sz w:val="22"/>
                <w:szCs w:val="22"/>
              </w:rPr>
            </w:pPr>
            <w:r w:rsidRPr="0034040D">
              <w:rPr>
                <w:rFonts w:eastAsiaTheme="minorEastAsia"/>
                <w:sz w:val="22"/>
                <w:szCs w:val="22"/>
              </w:rPr>
              <w:t xml:space="preserve">(2007). Globalization and social determinants of health: The role of the global marketplace (part 2 of 3). </w:t>
            </w:r>
            <w:r w:rsidRPr="0034040D">
              <w:rPr>
                <w:rFonts w:eastAsiaTheme="minorEastAsia"/>
                <w:i/>
                <w:iCs/>
                <w:sz w:val="22"/>
                <w:szCs w:val="22"/>
              </w:rPr>
              <w:t xml:space="preserve">Globalization and Health </w:t>
            </w:r>
            <w:r w:rsidR="00AD2736">
              <w:rPr>
                <w:rFonts w:eastAsiaTheme="minorEastAsia"/>
                <w:sz w:val="22"/>
                <w:szCs w:val="22"/>
              </w:rPr>
              <w:t>2007, 3:6 [17 pages].</w:t>
            </w:r>
            <w:r w:rsidRPr="0034040D">
              <w:rPr>
                <w:rFonts w:eastAsiaTheme="minorEastAsia"/>
                <w:sz w:val="22"/>
                <w:szCs w:val="22"/>
              </w:rPr>
              <w:t xml:space="preserve"> </w:t>
            </w:r>
          </w:p>
        </w:tc>
      </w:tr>
    </w:tbl>
    <w:p w:rsidR="00AB7884" w:rsidRDefault="00AB7884">
      <w:pPr>
        <w:pStyle w:val="Heading2"/>
        <w:rPr>
          <w:rFonts w:ascii="Trebuchet MS" w:hAnsi="Trebuchet MS" w:cs="Trebuchet MS"/>
          <w:sz w:val="28"/>
          <w:szCs w:val="28"/>
        </w:rPr>
      </w:pPr>
    </w:p>
    <w:p w:rsidR="00AB7884" w:rsidRDefault="00AB7884">
      <w:pPr>
        <w:pStyle w:val="Heading2"/>
        <w:rPr>
          <w:rFonts w:ascii="Trebuchet MS" w:hAnsi="Trebuchet MS" w:cs="Trebuchet MS"/>
          <w:color w:val="FF0000"/>
          <w:sz w:val="24"/>
          <w:szCs w:val="24"/>
        </w:rPr>
      </w:pPr>
      <w:r>
        <w:rPr>
          <w:rFonts w:ascii="Trebuchet MS" w:hAnsi="Trebuchet MS" w:cs="Trebuchet MS"/>
          <w:sz w:val="28"/>
          <w:szCs w:val="28"/>
        </w:rPr>
        <w:t xml:space="preserve">3 </w:t>
      </w:r>
      <w:r>
        <w:rPr>
          <w:rFonts w:ascii="Trebuchet MS" w:hAnsi="Trebuchet MS" w:cs="Trebuchet MS"/>
          <w:sz w:val="28"/>
          <w:szCs w:val="28"/>
        </w:rPr>
        <w:tab/>
        <w:t>HOW DID WE GET HERE?</w:t>
      </w:r>
      <w:r>
        <w:rPr>
          <w:rFonts w:ascii="Trebuchet MS" w:hAnsi="Trebuchet MS" w:cs="Trebuchet MS"/>
        </w:rPr>
        <w:t xml:space="preserve"> </w:t>
      </w:r>
    </w:p>
    <w:p w:rsidR="00AB7884" w:rsidRDefault="00717A10">
      <w:pPr>
        <w:rPr>
          <w:rFonts w:ascii="Trebuchet MS" w:hAnsi="Trebuchet MS" w:cs="Trebuchet MS"/>
          <w:b/>
          <w:bCs/>
          <w:sz w:val="18"/>
          <w:szCs w:val="18"/>
        </w:rPr>
      </w:pPr>
      <w:r w:rsidRPr="00717A10">
        <w:rPr>
          <w:color w:val="FF0000"/>
          <w:sz w:val="24"/>
          <w:szCs w:val="24"/>
        </w:rPr>
        <w:pict>
          <v:rect id="_x0000_i1028" style="width:425.2pt;height:2pt" o:hralign="center" o:hrstd="t" o:hrnoshade="t" o:hr="t" fillcolor="black" stroked="f"/>
        </w:pict>
      </w:r>
    </w:p>
    <w:p w:rsidR="00AB7884" w:rsidRDefault="00AB788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AB7884" w:rsidRPr="0034040D" w:rsidTr="0021531A">
        <w:tc>
          <w:tcPr>
            <w:tcW w:w="8460" w:type="dxa"/>
          </w:tcPr>
          <w:p w:rsidR="00AB7884" w:rsidRPr="0034040D" w:rsidRDefault="00AB7884">
            <w:pPr>
              <w:spacing w:before="120" w:after="120"/>
              <w:rPr>
                <w:rFonts w:ascii="Trebuchet MS" w:eastAsiaTheme="minorEastAsia" w:hAnsi="Trebuchet MS" w:cs="Trebuchet MS"/>
                <w:b/>
                <w:bCs/>
                <w:sz w:val="22"/>
                <w:szCs w:val="22"/>
                <w:lang w:val="en-ZA" w:eastAsia="en-ZA"/>
              </w:rPr>
            </w:pPr>
            <w:r w:rsidRPr="0034040D">
              <w:rPr>
                <w:rFonts w:ascii="Trebuchet MS" w:eastAsiaTheme="minorEastAsia" w:hAnsi="Trebuchet MS" w:cs="Trebuchet MS"/>
                <w:b/>
                <w:bCs/>
                <w:sz w:val="22"/>
                <w:szCs w:val="22"/>
                <w:lang w:val="en-ZA" w:eastAsia="en-ZA"/>
              </w:rPr>
              <w:t xml:space="preserve">TASK 1 </w:t>
            </w:r>
            <w:r w:rsidRPr="0034040D">
              <w:rPr>
                <w:rFonts w:ascii="Trebuchet MS" w:eastAsiaTheme="minorEastAsia" w:hAnsi="Trebuchet MS" w:cs="Trebuchet MS"/>
                <w:sz w:val="22"/>
                <w:szCs w:val="22"/>
                <w:lang w:val="en-ZA" w:eastAsia="en-ZA"/>
              </w:rPr>
              <w:t xml:space="preserve">– </w:t>
            </w:r>
            <w:r w:rsidRPr="0034040D">
              <w:rPr>
                <w:rFonts w:ascii="Trebuchet MS" w:eastAsiaTheme="minorEastAsia" w:hAnsi="Trebuchet MS" w:cs="Trebuchet MS"/>
                <w:b/>
                <w:bCs/>
                <w:sz w:val="22"/>
                <w:szCs w:val="22"/>
                <w:lang w:val="en-ZA" w:eastAsia="en-ZA"/>
              </w:rPr>
              <w:t>Identify the main landmarks of contemporary globalisation</w:t>
            </w:r>
          </w:p>
          <w:p w:rsidR="00AB7884" w:rsidRPr="0034040D" w:rsidRDefault="00AB7884">
            <w:pPr>
              <w:autoSpaceDE w:val="0"/>
              <w:autoSpaceDN w:val="0"/>
              <w:adjustRightInd w:val="0"/>
              <w:spacing w:before="120" w:after="120"/>
              <w:rPr>
                <w:rFonts w:ascii="Trebuchet MS" w:eastAsiaTheme="minorEastAsia" w:hAnsi="Trebuchet MS" w:cs="Trebuchet MS"/>
                <w:b/>
                <w:bCs/>
                <w:sz w:val="22"/>
                <w:szCs w:val="22"/>
                <w:lang w:val="nb-NO"/>
              </w:rPr>
            </w:pPr>
            <w:r w:rsidRPr="0034040D">
              <w:rPr>
                <w:rFonts w:ascii="Trebuchet MS" w:eastAsiaTheme="minorEastAsia" w:hAnsi="Trebuchet MS" w:cs="Trebuchet MS"/>
                <w:b/>
                <w:bCs/>
                <w:sz w:val="22"/>
                <w:szCs w:val="22"/>
                <w:lang w:val="nb-NO"/>
              </w:rPr>
              <w:t xml:space="preserve">READING </w:t>
            </w:r>
          </w:p>
          <w:p w:rsidR="00AB7884" w:rsidRPr="0034040D" w:rsidRDefault="00AB7884">
            <w:pPr>
              <w:autoSpaceDE w:val="0"/>
              <w:autoSpaceDN w:val="0"/>
              <w:adjustRightInd w:val="0"/>
              <w:spacing w:before="120" w:after="120"/>
              <w:rPr>
                <w:rFonts w:ascii="Trebuchet MS" w:eastAsiaTheme="minorEastAsia" w:hAnsi="Trebuchet MS" w:cs="Trebuchet MS"/>
                <w:sz w:val="22"/>
                <w:szCs w:val="22"/>
              </w:rPr>
            </w:pPr>
            <w:r w:rsidRPr="0034040D">
              <w:rPr>
                <w:rFonts w:ascii="Trebuchet MS" w:eastAsiaTheme="minorEastAsia" w:hAnsi="Trebuchet MS" w:cs="Trebuchet MS"/>
                <w:sz w:val="22"/>
                <w:szCs w:val="22"/>
                <w:lang w:val="nb-NO"/>
              </w:rPr>
              <w:t xml:space="preserve">Rennen, W. &amp; Martens, P. (2003). </w:t>
            </w:r>
            <w:r w:rsidRPr="0034040D">
              <w:rPr>
                <w:rFonts w:ascii="Trebuchet MS" w:eastAsiaTheme="minorEastAsia" w:hAnsi="Trebuchet MS" w:cs="Trebuchet MS"/>
                <w:sz w:val="22"/>
                <w:szCs w:val="22"/>
              </w:rPr>
              <w:t xml:space="preserve">The Globalisation Timeline, </w:t>
            </w:r>
            <w:r w:rsidRPr="0034040D">
              <w:rPr>
                <w:rFonts w:ascii="Trebuchet MS" w:eastAsiaTheme="minorEastAsia" w:hAnsi="Trebuchet MS" w:cs="Trebuchet MS"/>
                <w:i/>
                <w:iCs/>
                <w:sz w:val="22"/>
                <w:szCs w:val="22"/>
              </w:rPr>
              <w:t>Integrated Assessment 2003</w:t>
            </w:r>
            <w:r w:rsidRPr="0034040D">
              <w:rPr>
                <w:rFonts w:ascii="Trebuchet MS" w:eastAsiaTheme="minorEastAsia" w:hAnsi="Trebuchet MS" w:cs="Trebuchet MS"/>
                <w:sz w:val="22"/>
                <w:szCs w:val="22"/>
              </w:rPr>
              <w:t>, 4(3): 137</w:t>
            </w:r>
            <w:r w:rsidRPr="0034040D">
              <w:rPr>
                <w:rFonts w:eastAsiaTheme="minorEastAsia"/>
                <w:sz w:val="22"/>
                <w:szCs w:val="22"/>
              </w:rPr>
              <w:t>─</w:t>
            </w:r>
            <w:r w:rsidRPr="0034040D">
              <w:rPr>
                <w:rFonts w:ascii="Trebuchet MS" w:eastAsiaTheme="minorEastAsia" w:hAnsi="Trebuchet MS" w:cs="Trebuchet MS"/>
                <w:sz w:val="22"/>
                <w:szCs w:val="22"/>
              </w:rPr>
              <w:t>144.</w:t>
            </w:r>
          </w:p>
          <w:p w:rsidR="00AB7884" w:rsidRPr="0034040D" w:rsidRDefault="00AB7884">
            <w:pPr>
              <w:autoSpaceDE w:val="0"/>
              <w:autoSpaceDN w:val="0"/>
              <w:adjustRightInd w:val="0"/>
              <w:rPr>
                <w:rFonts w:ascii="Trebuchet MS" w:eastAsiaTheme="minorEastAsia" w:hAnsi="Trebuchet MS" w:cs="Trebuchet MS"/>
                <w:b/>
                <w:bCs/>
                <w:sz w:val="22"/>
                <w:szCs w:val="22"/>
              </w:rPr>
            </w:pPr>
            <w:r w:rsidRPr="0034040D">
              <w:rPr>
                <w:rFonts w:ascii="Trebuchet MS" w:eastAsiaTheme="minorEastAsia" w:hAnsi="Trebuchet MS" w:cs="Trebuchet MS"/>
                <w:sz w:val="22"/>
                <w:szCs w:val="22"/>
              </w:rPr>
              <w:t>As you read the above article, note down the key landmarks, which have shaped the evolution of contemporary globalisation in the following domains: economic,</w:t>
            </w:r>
            <w:r w:rsidRPr="0034040D">
              <w:rPr>
                <w:rFonts w:ascii="Trebuchet MS" w:eastAsiaTheme="minorEastAsia" w:hAnsi="Trebuchet MS" w:cs="Trebuchet MS"/>
                <w:sz w:val="22"/>
                <w:szCs w:val="22"/>
              </w:rPr>
              <w:br/>
              <w:t>political, technological, social and cultural, environmental.</w:t>
            </w:r>
            <w:r w:rsidRPr="0034040D">
              <w:rPr>
                <w:rFonts w:ascii="Trebuchet MS" w:eastAsiaTheme="minorEastAsia" w:hAnsi="Trebuchet MS" w:cs="Trebuchet MS"/>
                <w:sz w:val="22"/>
                <w:szCs w:val="22"/>
              </w:rPr>
              <w:br/>
            </w:r>
            <w:r w:rsidRPr="0034040D">
              <w:rPr>
                <w:rFonts w:ascii="Trebuchet MS" w:eastAsiaTheme="minorEastAsia" w:hAnsi="Trebuchet MS" w:cs="Trebuchet MS"/>
                <w:b/>
                <w:bCs/>
                <w:sz w:val="22"/>
                <w:szCs w:val="22"/>
              </w:rPr>
              <w:br w:type="page"/>
            </w:r>
          </w:p>
          <w:p w:rsidR="00AB7884" w:rsidRPr="0034040D" w:rsidRDefault="00AB7884">
            <w:pPr>
              <w:pStyle w:val="Heading6"/>
              <w:rPr>
                <w:rFonts w:eastAsiaTheme="minorEastAsia"/>
                <w:sz w:val="18"/>
                <w:szCs w:val="18"/>
              </w:rPr>
            </w:pPr>
          </w:p>
          <w:p w:rsidR="00B86DF9" w:rsidRDefault="00B86DF9">
            <w:pPr>
              <w:pStyle w:val="Heading6"/>
              <w:spacing w:before="0"/>
              <w:rPr>
                <w:rFonts w:eastAsiaTheme="minorEastAsia"/>
              </w:rPr>
            </w:pPr>
          </w:p>
          <w:p w:rsidR="00AB7884" w:rsidRPr="0034040D" w:rsidRDefault="00AB7884">
            <w:pPr>
              <w:pStyle w:val="Heading6"/>
              <w:spacing w:before="0"/>
              <w:rPr>
                <w:rFonts w:eastAsiaTheme="minorEastAsia"/>
              </w:rPr>
            </w:pPr>
            <w:r w:rsidRPr="0034040D">
              <w:rPr>
                <w:rFonts w:eastAsiaTheme="minorEastAsia"/>
              </w:rPr>
              <w:t xml:space="preserve">READING </w:t>
            </w:r>
          </w:p>
          <w:p w:rsidR="00AB7884" w:rsidRPr="0034040D" w:rsidRDefault="00AB7884">
            <w:pPr>
              <w:autoSpaceDE w:val="0"/>
              <w:autoSpaceDN w:val="0"/>
              <w:adjustRightInd w:val="0"/>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sz w:val="22"/>
                <w:szCs w:val="22"/>
              </w:rPr>
              <w:t xml:space="preserve">Rudin, J. &amp; Sanders, D. (2011). Debt, Structural Adjustment and Health. In: S. Benatar &amp; G. Brock (Eds). </w:t>
            </w:r>
            <w:r w:rsidRPr="0034040D">
              <w:rPr>
                <w:rFonts w:ascii="Trebuchet MS" w:eastAsiaTheme="minorEastAsia" w:hAnsi="Trebuchet MS" w:cs="Trebuchet MS"/>
                <w:i/>
                <w:iCs/>
                <w:sz w:val="22"/>
                <w:szCs w:val="22"/>
              </w:rPr>
              <w:t>Global Health and Global Health Ethics</w:t>
            </w:r>
            <w:r w:rsidRPr="0034040D">
              <w:rPr>
                <w:rFonts w:ascii="Trebuchet MS" w:eastAsiaTheme="minorEastAsia" w:hAnsi="Trebuchet MS" w:cs="Trebuchet MS"/>
                <w:sz w:val="22"/>
                <w:szCs w:val="22"/>
              </w:rPr>
              <w:t>, Cambridge University Press: 155-165.</w:t>
            </w: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As you read the above chapter, note down your answers to these questions:</w:t>
            </w:r>
          </w:p>
          <w:p w:rsidR="00AB7884" w:rsidRPr="0034040D" w:rsidRDefault="00AB7884">
            <w:pPr>
              <w:pStyle w:val="ListParagraph"/>
              <w:numPr>
                <w:ilvl w:val="0"/>
                <w:numId w:val="7"/>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 xml:space="preserve">What was the etiology of the debt crisis of the 1970s? </w:t>
            </w:r>
          </w:p>
          <w:p w:rsidR="00AB7884" w:rsidRPr="0034040D" w:rsidRDefault="00AB7884">
            <w:pPr>
              <w:pStyle w:val="ListParagraph"/>
              <w:numPr>
                <w:ilvl w:val="0"/>
                <w:numId w:val="7"/>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 xml:space="preserve">Explain what the authors mean by this statement, “Faced with defaulting debtors, the banks </w:t>
            </w:r>
            <w:r w:rsidRPr="0034040D">
              <w:rPr>
                <w:rFonts w:eastAsiaTheme="minorEastAsia"/>
                <w:sz w:val="22"/>
                <w:szCs w:val="22"/>
                <w:lang w:val="en-ZA"/>
              </w:rPr>
              <w:t>─</w:t>
            </w:r>
            <w:r w:rsidRPr="0034040D">
              <w:rPr>
                <w:rFonts w:ascii="Trebuchet MS" w:eastAsiaTheme="minorEastAsia" w:hAnsi="Trebuchet MS" w:cs="Trebuchet MS"/>
                <w:sz w:val="22"/>
                <w:szCs w:val="22"/>
                <w:lang w:val="en-ZA"/>
              </w:rPr>
              <w:t xml:space="preserve"> principally the IMF and World Bank which took over much of the loans made by commercial banks </w:t>
            </w:r>
            <w:r w:rsidRPr="0034040D">
              <w:rPr>
                <w:rFonts w:eastAsiaTheme="minorEastAsia"/>
                <w:sz w:val="22"/>
                <w:szCs w:val="22"/>
                <w:lang w:val="en-ZA"/>
              </w:rPr>
              <w:t>─</w:t>
            </w:r>
            <w:r w:rsidRPr="0034040D">
              <w:rPr>
                <w:rFonts w:ascii="Trebuchet MS" w:eastAsiaTheme="minorEastAsia" w:hAnsi="Trebuchet MS" w:cs="Trebuchet MS"/>
                <w:sz w:val="22"/>
                <w:szCs w:val="22"/>
                <w:lang w:val="en-ZA"/>
              </w:rPr>
              <w:t xml:space="preserve"> did what banks always do…they took steps to protect their money.”(page 157)</w:t>
            </w:r>
          </w:p>
          <w:p w:rsidR="00AB7884" w:rsidRPr="0034040D" w:rsidRDefault="00AB7884">
            <w:pPr>
              <w:pStyle w:val="ListParagraph"/>
              <w:numPr>
                <w:ilvl w:val="0"/>
                <w:numId w:val="7"/>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What were the main conditions attached to the Structural Adjustment Programmes (SAPs)?</w:t>
            </w:r>
          </w:p>
          <w:p w:rsidR="00AB7884" w:rsidRPr="0034040D" w:rsidRDefault="00AB7884">
            <w:pPr>
              <w:pStyle w:val="ListParagraph"/>
              <w:numPr>
                <w:ilvl w:val="0"/>
                <w:numId w:val="7"/>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What were some health consequences of SAPs?</w:t>
            </w:r>
          </w:p>
          <w:p w:rsidR="00AB7884" w:rsidRPr="0034040D" w:rsidRDefault="00AB7884">
            <w:pPr>
              <w:pStyle w:val="ListParagraph"/>
              <w:numPr>
                <w:ilvl w:val="0"/>
                <w:numId w:val="7"/>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Has SAPs aided economic growth and development? Explain.</w:t>
            </w:r>
          </w:p>
          <w:p w:rsidR="00AB7884" w:rsidRPr="0034040D" w:rsidRDefault="00AB7884">
            <w:pPr>
              <w:pStyle w:val="ListParagraph"/>
              <w:numPr>
                <w:ilvl w:val="0"/>
                <w:numId w:val="7"/>
              </w:numPr>
              <w:autoSpaceDE w:val="0"/>
              <w:autoSpaceDN w:val="0"/>
              <w:adjustRightInd w:val="0"/>
              <w:spacing w:after="120"/>
              <w:ind w:left="357" w:hanging="357"/>
              <w:rPr>
                <w:rFonts w:ascii="Trebuchet MS" w:eastAsiaTheme="minorEastAsia" w:hAnsi="Trebuchet MS" w:cs="Trebuchet MS"/>
                <w:b/>
                <w:bCs/>
                <w:sz w:val="22"/>
                <w:szCs w:val="22"/>
                <w:lang w:val="en-ZA" w:eastAsia="en-ZA"/>
              </w:rPr>
            </w:pPr>
            <w:r w:rsidRPr="0034040D">
              <w:rPr>
                <w:rFonts w:ascii="Trebuchet MS" w:eastAsiaTheme="minorEastAsia" w:hAnsi="Trebuchet MS" w:cs="Trebuchet MS"/>
                <w:sz w:val="22"/>
                <w:szCs w:val="22"/>
                <w:lang w:val="en-ZA"/>
              </w:rPr>
              <w:t>How do the authors explain ‘the synergy between the World Trade Organisation (WTO) and SAPs’?</w:t>
            </w:r>
          </w:p>
        </w:tc>
      </w:tr>
    </w:tbl>
    <w:p w:rsidR="00AB7884" w:rsidRDefault="00AB7884">
      <w:pPr>
        <w:spacing w:before="120" w:after="120"/>
        <w:rPr>
          <w:rFonts w:ascii="Trebuchet MS" w:hAnsi="Trebuchet MS" w:cs="Trebuchet MS"/>
          <w:b/>
          <w:bCs/>
          <w:sz w:val="22"/>
          <w:szCs w:val="22"/>
        </w:rPr>
      </w:pPr>
      <w:r>
        <w:rPr>
          <w:rFonts w:ascii="Trebuchet MS" w:hAnsi="Trebuchet MS" w:cs="Trebuchet MS"/>
          <w:b/>
          <w:bCs/>
          <w:sz w:val="22"/>
          <w:szCs w:val="22"/>
        </w:rPr>
        <w:lastRenderedPageBreak/>
        <w:t>FEEDBACK</w:t>
      </w:r>
    </w:p>
    <w:p w:rsidR="00AB7884" w:rsidRDefault="00AB7884">
      <w:pPr>
        <w:rPr>
          <w:sz w:val="22"/>
          <w:szCs w:val="22"/>
        </w:rPr>
      </w:pPr>
      <w:r>
        <w:rPr>
          <w:sz w:val="22"/>
          <w:szCs w:val="22"/>
        </w:rPr>
        <w:t xml:space="preserve">The notes below provide general feedback on the above task. </w:t>
      </w:r>
    </w:p>
    <w:p w:rsidR="00AB7884" w:rsidRDefault="00AB7884">
      <w:pPr>
        <w:rPr>
          <w:sz w:val="22"/>
          <w:szCs w:val="22"/>
        </w:rPr>
      </w:pPr>
    </w:p>
    <w:p w:rsidR="00AB7884" w:rsidRDefault="00AB7884">
      <w:pPr>
        <w:rPr>
          <w:sz w:val="22"/>
          <w:szCs w:val="22"/>
        </w:rPr>
      </w:pPr>
      <w:r>
        <w:rPr>
          <w:sz w:val="22"/>
          <w:szCs w:val="22"/>
        </w:rPr>
        <w:t>Rennen &amp; Martens (2003) (Figure 2.1.1) highlights key landmarks, which have shaped the evolution of globalisation. The authors adopt a pluralistic approach when unpacking the historical and current processes, which have been used to promote the globalisation agenda across the economic, political, technological, social-cultural and environmental domains. Their timeline shows how complex it is to define globalisaiton, as there is not simply one domain, but multiple domains, which continuously interact and impact on each other. Despite this, our discussion mainly focuses on the political and economic domains, underpinned by the ideology of neo-liberalism with its orientation towards maximising profits.</w:t>
      </w:r>
    </w:p>
    <w:p w:rsidR="00AB7884" w:rsidRDefault="00AB7884">
      <w:pPr>
        <w:autoSpaceDE w:val="0"/>
        <w:autoSpaceDN w:val="0"/>
        <w:adjustRightInd w:val="0"/>
        <w:rPr>
          <w:sz w:val="18"/>
          <w:szCs w:val="18"/>
          <w:lang w:val="en-ZA" w:eastAsia="nb-NO"/>
        </w:rPr>
      </w:pPr>
    </w:p>
    <w:p w:rsidR="00AB7884" w:rsidRDefault="00AB7884">
      <w:pPr>
        <w:spacing w:before="120" w:after="120"/>
        <w:rPr>
          <w:rFonts w:ascii="Trebuchet MS" w:hAnsi="Trebuchet MS" w:cs="Trebuchet MS"/>
          <w:b/>
          <w:bCs/>
          <w:sz w:val="22"/>
          <w:szCs w:val="22"/>
        </w:rPr>
      </w:pPr>
      <w:r>
        <w:rPr>
          <w:b/>
          <w:bCs/>
          <w:sz w:val="22"/>
          <w:szCs w:val="22"/>
        </w:rPr>
        <w:br w:type="page"/>
      </w:r>
      <w:r>
        <w:rPr>
          <w:rFonts w:ascii="Trebuchet MS" w:hAnsi="Trebuchet MS" w:cs="Trebuchet MS"/>
          <w:b/>
          <w:bCs/>
          <w:sz w:val="22"/>
          <w:szCs w:val="22"/>
        </w:rPr>
        <w:lastRenderedPageBreak/>
        <w:t>Figure 2.1.1 The Globalisation Timeline</w:t>
      </w:r>
    </w:p>
    <w:p w:rsidR="00AB7884" w:rsidRDefault="00C42A6B">
      <w:pPr>
        <w:rPr>
          <w:rFonts w:ascii="Times New Roman" w:hAnsi="Times New Roman" w:cs="Times New Roman"/>
          <w:sz w:val="22"/>
          <w:szCs w:val="22"/>
        </w:rPr>
      </w:pPr>
      <w:r w:rsidRPr="00717A10">
        <w:rPr>
          <w:b/>
          <w:bCs/>
          <w:i/>
          <w:iCs/>
          <w:noProof/>
          <w:sz w:val="22"/>
          <w:szCs w:val="22"/>
          <w:lang w:val="nb-NO"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9" type="#_x0000_t75" style="width:424.5pt;height:329.25pt;visibility:visible">
            <v:imagedata r:id="rId8" o:title=""/>
          </v:shape>
        </w:pict>
      </w:r>
    </w:p>
    <w:p w:rsidR="00AB7884" w:rsidRDefault="00AB7884">
      <w:pPr>
        <w:spacing w:before="120" w:after="120"/>
      </w:pPr>
      <w:r>
        <w:rPr>
          <w:b/>
          <w:bCs/>
          <w:i/>
          <w:iCs/>
        </w:rPr>
        <w:t>Source</w:t>
      </w:r>
      <w:r>
        <w:t xml:space="preserve">: Rennen, W. &amp; Martens, P. (2003) The Globalisation Timeline, </w:t>
      </w:r>
      <w:r>
        <w:rPr>
          <w:i/>
          <w:iCs/>
        </w:rPr>
        <w:t>Integrated Assessment 2003</w:t>
      </w:r>
      <w:r>
        <w:t>, 4:3(139) (International Centre for Integrative Studies, University of Maastricht, Maastricht, The Netherlands).</w:t>
      </w:r>
      <w:r>
        <w:br/>
      </w:r>
    </w:p>
    <w:p w:rsidR="00AB7884" w:rsidRDefault="00AB7884">
      <w:pPr>
        <w:spacing w:before="120" w:after="120" w:line="276" w:lineRule="auto"/>
        <w:rPr>
          <w:rFonts w:ascii="Trebuchet MS" w:hAnsi="Trebuchet MS" w:cs="Trebuchet MS"/>
          <w:b/>
          <w:bCs/>
          <w:sz w:val="22"/>
          <w:szCs w:val="22"/>
        </w:rPr>
      </w:pPr>
      <w:r>
        <w:rPr>
          <w:rFonts w:ascii="Trebuchet MS" w:hAnsi="Trebuchet MS" w:cs="Trebuchet MS"/>
          <w:b/>
          <w:bCs/>
          <w:sz w:val="22"/>
          <w:szCs w:val="22"/>
        </w:rPr>
        <w:t>The Bretton Woods Conference: Post World War II (1940s</w:t>
      </w:r>
      <w:r>
        <w:rPr>
          <w:rFonts w:ascii="Calibri" w:hAnsi="Calibri" w:cs="Calibri"/>
          <w:b/>
          <w:bCs/>
          <w:sz w:val="22"/>
          <w:szCs w:val="22"/>
        </w:rPr>
        <w:t>-</w:t>
      </w:r>
      <w:r>
        <w:rPr>
          <w:rFonts w:ascii="Trebuchet MS" w:hAnsi="Trebuchet MS" w:cs="Trebuchet MS"/>
          <w:b/>
          <w:bCs/>
          <w:sz w:val="22"/>
          <w:szCs w:val="22"/>
        </w:rPr>
        <w:t>1960s)</w:t>
      </w:r>
    </w:p>
    <w:p w:rsidR="00AB7884" w:rsidRDefault="00AB7884">
      <w:pPr>
        <w:rPr>
          <w:sz w:val="22"/>
          <w:szCs w:val="22"/>
        </w:rPr>
      </w:pPr>
      <w:r>
        <w:rPr>
          <w:sz w:val="22"/>
          <w:szCs w:val="22"/>
          <w:lang w:eastAsia="en-ZA"/>
        </w:rPr>
        <w:t xml:space="preserve">The era of contemporary globalisation is usually dated from the mid-1940s, when World War II was still raging, </w:t>
      </w:r>
      <w:r>
        <w:rPr>
          <w:sz w:val="22"/>
          <w:szCs w:val="22"/>
        </w:rPr>
        <w:t xml:space="preserve">with the majority of industrialised countries signing the Bretton Woods Agreement and then with the founding of the United Nations (UN) in 1945. </w:t>
      </w:r>
    </w:p>
    <w:p w:rsidR="00AB7884" w:rsidRDefault="00AB7884">
      <w:pPr>
        <w:rPr>
          <w:sz w:val="22"/>
          <w:szCs w:val="22"/>
        </w:rPr>
      </w:pPr>
    </w:p>
    <w:p w:rsidR="00AB7884" w:rsidRDefault="00AB7884">
      <w:pPr>
        <w:spacing w:after="200"/>
        <w:rPr>
          <w:sz w:val="22"/>
          <w:szCs w:val="22"/>
        </w:rPr>
      </w:pPr>
      <w:r>
        <w:rPr>
          <w:sz w:val="22"/>
          <w:szCs w:val="22"/>
        </w:rPr>
        <w:t>The Bretton Woods Agreement (so-called because the 1944 Monetary and Financial Conference was held in Bretton Woods, New Hampshire, USA) led to the beginning of an international monetary system that is still in place today. The Conference was attended by delegates from 44 allied nations, whose discussion focused on establishing a stable exchange rate (in an attempt to avoid a repetition of the worldwide economic recession of the Great Depression of the 1930s); discussing the rebuilding of the war-ravaged economies of Europe, and negotiating a system of rules, procedures and institutions to regulate international commercial and financial relations. Each country adopted a monetary policy that tied their national currencies to the US dollar.</w:t>
      </w:r>
    </w:p>
    <w:p w:rsidR="00AB7884" w:rsidRDefault="00AB7884">
      <w:pPr>
        <w:spacing w:after="20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34040D" w:rsidTr="0021531A">
        <w:tc>
          <w:tcPr>
            <w:tcW w:w="8190" w:type="dxa"/>
          </w:tcPr>
          <w:p w:rsidR="00AB7884" w:rsidRPr="0034040D" w:rsidRDefault="00AB7884">
            <w:pPr>
              <w:pStyle w:val="Heading1"/>
              <w:rPr>
                <w:rFonts w:ascii="Trebuchet MS" w:eastAsiaTheme="minorEastAsia" w:hAnsi="Trebuchet MS" w:cs="Trebuchet MS"/>
                <w:sz w:val="22"/>
                <w:szCs w:val="22"/>
              </w:rPr>
            </w:pPr>
            <w:r w:rsidRPr="0034040D">
              <w:rPr>
                <w:rFonts w:ascii="Trebuchet MS" w:eastAsiaTheme="minorEastAsia" w:hAnsi="Trebuchet MS" w:cs="Trebuchet MS"/>
                <w:sz w:val="22"/>
                <w:szCs w:val="22"/>
              </w:rPr>
              <w:lastRenderedPageBreak/>
              <w:t>READING</w:t>
            </w:r>
          </w:p>
          <w:p w:rsidR="00AB7884" w:rsidRPr="005A5796" w:rsidRDefault="00AB7884">
            <w:pPr>
              <w:rPr>
                <w:rFonts w:ascii="Trebuchet MS" w:eastAsiaTheme="minorEastAsia" w:hAnsi="Trebuchet MS" w:cs="Trebuchet MS"/>
                <w:sz w:val="22"/>
                <w:szCs w:val="22"/>
              </w:rPr>
            </w:pPr>
            <w:r w:rsidRPr="0034040D">
              <w:rPr>
                <w:rFonts w:ascii="Trebuchet MS" w:eastAsiaTheme="minorEastAsia" w:hAnsi="Trebuchet MS" w:cs="Trebuchet MS"/>
                <w:sz w:val="22"/>
                <w:szCs w:val="22"/>
              </w:rPr>
              <w:t>The article below provides useful insights into the Bretton Woods C</w:t>
            </w:r>
            <w:r w:rsidRPr="005A5796">
              <w:rPr>
                <w:rFonts w:ascii="Trebuchet MS" w:eastAsiaTheme="minorEastAsia" w:hAnsi="Trebuchet MS" w:cs="Trebuchet MS"/>
                <w:sz w:val="22"/>
                <w:szCs w:val="22"/>
              </w:rPr>
              <w:t>onference.</w:t>
            </w:r>
          </w:p>
          <w:p w:rsidR="00AB7884" w:rsidRPr="0034040D" w:rsidRDefault="00AB7884">
            <w:pPr>
              <w:pStyle w:val="Heading1"/>
              <w:rPr>
                <w:rFonts w:ascii="Trebuchet MS" w:eastAsiaTheme="minorEastAsia" w:hAnsi="Trebuchet MS" w:cs="Trebuchet MS"/>
                <w:sz w:val="22"/>
                <w:szCs w:val="22"/>
              </w:rPr>
            </w:pPr>
            <w:r w:rsidRPr="005A5796">
              <w:rPr>
                <w:rFonts w:ascii="Trebuchet MS" w:eastAsiaTheme="minorEastAsia" w:hAnsi="Trebuchet MS" w:cs="Trebuchet MS"/>
                <w:b w:val="0"/>
                <w:bCs w:val="0"/>
                <w:sz w:val="22"/>
                <w:szCs w:val="22"/>
              </w:rPr>
              <w:t xml:space="preserve">Schifferes, S. (2008). How Bretton Woods reshaped the world, </w:t>
            </w:r>
            <w:r w:rsidRPr="005A5796">
              <w:rPr>
                <w:rFonts w:ascii="Trebuchet MS" w:eastAsiaTheme="minorEastAsia" w:hAnsi="Trebuchet MS" w:cs="Trebuchet MS"/>
                <w:b w:val="0"/>
                <w:bCs w:val="0"/>
                <w:i/>
                <w:iCs/>
                <w:sz w:val="22"/>
                <w:szCs w:val="22"/>
              </w:rPr>
              <w:t>BBC News</w:t>
            </w:r>
            <w:r w:rsidRPr="005A5796">
              <w:rPr>
                <w:rFonts w:ascii="Trebuchet MS" w:eastAsiaTheme="minorEastAsia" w:hAnsi="Trebuchet MS" w:cs="Trebuchet MS"/>
                <w:b w:val="0"/>
                <w:bCs w:val="0"/>
                <w:sz w:val="22"/>
                <w:szCs w:val="22"/>
              </w:rPr>
              <w:t xml:space="preserve">. [Online], Available: </w:t>
            </w:r>
            <w:hyperlink r:id="rId9" w:history="1">
              <w:r w:rsidRPr="005A5796">
                <w:rPr>
                  <w:rStyle w:val="Hyperlink"/>
                  <w:rFonts w:ascii="Trebuchet MS" w:eastAsiaTheme="minorEastAsia" w:hAnsi="Trebuchet MS" w:cs="Trebuchet MS"/>
                  <w:b w:val="0"/>
                  <w:bCs w:val="0"/>
                  <w:sz w:val="22"/>
                  <w:szCs w:val="22"/>
                  <w:u w:val="none"/>
                </w:rPr>
                <w:t>http://news.bbc.co.uk/2/hi/7725157.stm</w:t>
              </w:r>
            </w:hyperlink>
            <w:r w:rsidRPr="005A5796">
              <w:rPr>
                <w:rFonts w:ascii="Trebuchet MS" w:eastAsiaTheme="minorEastAsia" w:hAnsi="Trebuchet MS" w:cs="Trebuchet MS"/>
                <w:b w:val="0"/>
                <w:bCs w:val="0"/>
                <w:sz w:val="22"/>
                <w:szCs w:val="22"/>
              </w:rPr>
              <w:t>. [Do</w:t>
            </w:r>
            <w:r w:rsidRPr="0034040D">
              <w:rPr>
                <w:rFonts w:ascii="Trebuchet MS" w:eastAsiaTheme="minorEastAsia" w:hAnsi="Trebuchet MS" w:cs="Trebuchet MS"/>
                <w:b w:val="0"/>
                <w:bCs w:val="0"/>
                <w:sz w:val="22"/>
                <w:szCs w:val="22"/>
              </w:rPr>
              <w:t>wnloaded: 21 September 2011]</w:t>
            </w:r>
            <w:r w:rsidR="00BF4266">
              <w:rPr>
                <w:rFonts w:ascii="Trebuchet MS" w:eastAsiaTheme="minorEastAsia" w:hAnsi="Trebuchet MS" w:cs="Trebuchet MS"/>
                <w:b w:val="0"/>
                <w:bCs w:val="0"/>
                <w:sz w:val="22"/>
                <w:szCs w:val="22"/>
              </w:rPr>
              <w:t xml:space="preserve"> [4 pages]</w:t>
            </w:r>
            <w:r w:rsidRPr="0034040D">
              <w:rPr>
                <w:rFonts w:ascii="Trebuchet MS" w:eastAsiaTheme="minorEastAsia" w:hAnsi="Trebuchet MS" w:cs="Trebuchet MS"/>
                <w:b w:val="0"/>
                <w:bCs w:val="0"/>
                <w:sz w:val="22"/>
                <w:szCs w:val="22"/>
              </w:rPr>
              <w:t>.</w:t>
            </w:r>
          </w:p>
        </w:tc>
      </w:tr>
    </w:tbl>
    <w:p w:rsidR="00AB7884" w:rsidRDefault="00AB7884">
      <w:pPr>
        <w:rPr>
          <w:rFonts w:ascii="Times New Roman" w:hAnsi="Times New Roman" w:cs="Times New Roman"/>
          <w:vanish/>
        </w:rPr>
      </w:pPr>
    </w:p>
    <w:p w:rsidR="00AB7884" w:rsidRDefault="00AB7884"/>
    <w:tbl>
      <w:tblPr>
        <w:tblW w:w="81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6782"/>
      </w:tblGrid>
      <w:tr w:rsidR="00AB7884" w:rsidRPr="0034040D" w:rsidTr="0021531A">
        <w:trPr>
          <w:trHeight w:val="963"/>
        </w:trPr>
        <w:tc>
          <w:tcPr>
            <w:tcW w:w="1368" w:type="dxa"/>
          </w:tcPr>
          <w:p w:rsidR="00AB7884" w:rsidRPr="0034040D" w:rsidRDefault="00C42A6B">
            <w:pPr>
              <w:spacing w:before="120" w:after="120"/>
              <w:rPr>
                <w:rFonts w:ascii="Trebuchet MS" w:eastAsiaTheme="minorEastAsia" w:hAnsi="Trebuchet MS" w:cs="Trebuchet MS"/>
                <w:b/>
                <w:bCs/>
              </w:rPr>
            </w:pPr>
            <w:r w:rsidRPr="00717A10">
              <w:rPr>
                <w:rFonts w:ascii="Trebuchet MS" w:eastAsiaTheme="minorEastAsia" w:hAnsi="Trebuchet MS" w:cs="Trebuchet MS"/>
              </w:rPr>
              <w:pict>
                <v:shape id="_x0000_i1030" type="#_x0000_t75" style="width:51pt;height:63pt" filled="t" fillcolor="silver">
                  <v:imagedata r:id="rId10" o:title=""/>
                </v:shape>
              </w:pict>
            </w:r>
          </w:p>
        </w:tc>
        <w:tc>
          <w:tcPr>
            <w:tcW w:w="6782" w:type="dxa"/>
          </w:tcPr>
          <w:p w:rsidR="00AB7884" w:rsidRPr="0034040D" w:rsidRDefault="00AB7884">
            <w:pPr>
              <w:pStyle w:val="EndnoteText"/>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DVD Resource</w:t>
            </w:r>
          </w:p>
          <w:p w:rsidR="00AB7884" w:rsidRDefault="00AB7884">
            <w:pPr>
              <w:pStyle w:val="EndnoteText"/>
              <w:spacing w:before="120" w:after="120"/>
              <w:rPr>
                <w:rFonts w:ascii="Trebuchet MS" w:eastAsiaTheme="minorEastAsia" w:hAnsi="Trebuchet MS" w:cs="Trebuchet MS"/>
                <w:sz w:val="22"/>
                <w:szCs w:val="22"/>
              </w:rPr>
            </w:pPr>
            <w:r w:rsidRPr="0034040D">
              <w:rPr>
                <w:rFonts w:ascii="Trebuchet MS" w:eastAsiaTheme="minorEastAsia" w:hAnsi="Trebuchet MS" w:cs="Trebuchet MS"/>
                <w:sz w:val="22"/>
                <w:szCs w:val="22"/>
              </w:rPr>
              <w:t>1944_Bretton_Woods_International_Monetary_Conference.mp4</w:t>
            </w:r>
          </w:p>
          <w:p w:rsidR="00B86DF9" w:rsidRPr="0034040D" w:rsidRDefault="00B86DF9">
            <w:pPr>
              <w:pStyle w:val="EndnoteText"/>
              <w:spacing w:before="120" w:after="120"/>
              <w:rPr>
                <w:rFonts w:ascii="Trebuchet MS" w:eastAsiaTheme="minorEastAsia" w:hAnsi="Trebuchet MS" w:cs="Trebuchet MS"/>
                <w:sz w:val="22"/>
                <w:szCs w:val="22"/>
              </w:rPr>
            </w:pPr>
            <w:r>
              <w:rPr>
                <w:rFonts w:ascii="Trebuchet MS" w:eastAsiaTheme="minorEastAsia" w:hAnsi="Trebuchet MS" w:cs="Trebuchet MS"/>
                <w:sz w:val="22"/>
                <w:szCs w:val="22"/>
              </w:rPr>
              <w:t>[See DVD Unit 2]</w:t>
            </w:r>
          </w:p>
          <w:p w:rsidR="00AB7884" w:rsidRPr="0034040D" w:rsidRDefault="00AB7884">
            <w:pPr>
              <w:pStyle w:val="EndnoteText"/>
              <w:spacing w:after="120"/>
              <w:rPr>
                <w:rFonts w:ascii="Trebuchet MS" w:eastAsiaTheme="minorEastAsia" w:hAnsi="Trebuchet MS" w:cs="Trebuchet MS"/>
                <w:b/>
                <w:bCs/>
                <w:sz w:val="22"/>
                <w:szCs w:val="22"/>
              </w:rPr>
            </w:pPr>
          </w:p>
        </w:tc>
      </w:tr>
    </w:tbl>
    <w:p w:rsidR="00AB7884" w:rsidRDefault="00AB7884">
      <w:pPr>
        <w:spacing w:before="120" w:after="120"/>
        <w:rPr>
          <w:sz w:val="22"/>
          <w:szCs w:val="22"/>
        </w:rPr>
      </w:pPr>
      <w:r>
        <w:rPr>
          <w:sz w:val="22"/>
          <w:szCs w:val="22"/>
        </w:rPr>
        <w:t>The outcomes of the Bretton Woods Conference were the setting up of:</w:t>
      </w:r>
    </w:p>
    <w:p w:rsidR="00AB7884" w:rsidRDefault="00AB7884">
      <w:pPr>
        <w:pStyle w:val="ListParagraph"/>
        <w:numPr>
          <w:ilvl w:val="0"/>
          <w:numId w:val="1"/>
        </w:numPr>
        <w:spacing w:after="200"/>
        <w:rPr>
          <w:sz w:val="22"/>
          <w:szCs w:val="22"/>
        </w:rPr>
      </w:pPr>
      <w:r>
        <w:rPr>
          <w:sz w:val="22"/>
          <w:szCs w:val="22"/>
        </w:rPr>
        <w:t>the International Monetary Fund (IMF) in 1946 to maintain global economic stability especially by assisting those countries with balance of payment deficits</w:t>
      </w:r>
    </w:p>
    <w:p w:rsidR="00AB7884" w:rsidRDefault="00AB7884">
      <w:pPr>
        <w:pStyle w:val="ListParagraph"/>
        <w:numPr>
          <w:ilvl w:val="0"/>
          <w:numId w:val="1"/>
        </w:numPr>
        <w:spacing w:after="200"/>
        <w:rPr>
          <w:sz w:val="22"/>
          <w:szCs w:val="22"/>
        </w:rPr>
      </w:pPr>
      <w:r>
        <w:rPr>
          <w:sz w:val="22"/>
          <w:szCs w:val="22"/>
        </w:rPr>
        <w:t>the General Agreement on Tariffs and Trade (GATT) in 1947 to regulate tariff reductions. GATT lasted until 1993 when it was replaced by the World Trade Organisation (WTO)</w:t>
      </w:r>
    </w:p>
    <w:p w:rsidR="00AB7884" w:rsidRDefault="00AB7884">
      <w:pPr>
        <w:pStyle w:val="ListParagraph"/>
        <w:numPr>
          <w:ilvl w:val="0"/>
          <w:numId w:val="1"/>
        </w:numPr>
        <w:rPr>
          <w:sz w:val="22"/>
          <w:szCs w:val="22"/>
        </w:rPr>
      </w:pPr>
      <w:r>
        <w:rPr>
          <w:sz w:val="22"/>
          <w:szCs w:val="22"/>
        </w:rPr>
        <w:t xml:space="preserve">the International Bank for Reconstruction and Development (the World Bank) in 1947 to provide low interest loans and grants for development.  </w:t>
      </w:r>
    </w:p>
    <w:p w:rsidR="00AB7884" w:rsidRDefault="00AB7884">
      <w:pPr>
        <w:pStyle w:val="ListParagrap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34040D" w:rsidTr="0021531A">
        <w:tc>
          <w:tcPr>
            <w:tcW w:w="8190" w:type="dxa"/>
          </w:tcPr>
          <w:p w:rsidR="00AB7884" w:rsidRPr="0034040D" w:rsidRDefault="00AB7884">
            <w:pPr>
              <w:pStyle w:val="NormalWeb"/>
              <w:spacing w:before="120" w:beforeAutospacing="0" w:after="120" w:afterAutospacing="0"/>
              <w:rPr>
                <w:rFonts w:ascii="Trebuchet MS" w:eastAsiaTheme="minorEastAsia" w:hAnsi="Trebuchet MS" w:cs="Trebuchet MS"/>
                <w:b/>
                <w:bCs/>
                <w:sz w:val="20"/>
                <w:szCs w:val="20"/>
              </w:rPr>
            </w:pPr>
            <w:r w:rsidRPr="0034040D">
              <w:rPr>
                <w:rFonts w:ascii="Trebuchet MS" w:eastAsiaTheme="minorEastAsia" w:hAnsi="Trebuchet MS" w:cs="Trebuchet MS"/>
                <w:b/>
                <w:bCs/>
                <w:sz w:val="20"/>
                <w:szCs w:val="20"/>
              </w:rPr>
              <w:t>GLOSSARY</w:t>
            </w:r>
          </w:p>
          <w:p w:rsidR="00AB7884" w:rsidRPr="0034040D" w:rsidRDefault="00AB7884">
            <w:pPr>
              <w:pStyle w:val="NormalWeb"/>
              <w:spacing w:before="0" w:beforeAutospacing="0" w:after="120" w:afterAutospacing="0"/>
              <w:rPr>
                <w:rFonts w:eastAsiaTheme="minorEastAsia"/>
                <w:b/>
                <w:bCs/>
                <w:sz w:val="20"/>
                <w:szCs w:val="20"/>
              </w:rPr>
            </w:pPr>
            <w:r w:rsidRPr="0034040D">
              <w:rPr>
                <w:rFonts w:ascii="Trebuchet MS" w:eastAsiaTheme="minorEastAsia" w:hAnsi="Trebuchet MS" w:cs="Trebuchet MS"/>
                <w:b/>
                <w:bCs/>
                <w:sz w:val="20"/>
                <w:szCs w:val="20"/>
              </w:rPr>
              <w:t xml:space="preserve">Balance of payment (BOP): </w:t>
            </w:r>
            <w:r w:rsidRPr="0034040D">
              <w:rPr>
                <w:rFonts w:ascii="Trebuchet MS" w:eastAsiaTheme="minorEastAsia" w:hAnsi="Trebuchet MS" w:cs="Trebuchet MS"/>
                <w:sz w:val="20"/>
                <w:szCs w:val="20"/>
              </w:rPr>
              <w:t>This is a record of all the financial transactions between countries, e.g. for exports, imports, loans and investments. Ideally the BOP should balance to zero, with no surplus or deficit. A negative imbalance means that the country is in deficit, for example, it has imported more than it has exported. The country would then need to counter-balance the shortfall by trying to earn foreign capital, e.g. through attracting foreign investments or by receiving loans from other countries. Unfortunately the latter usually means that the deficit country becomes increasingly indebted to the countries or institutions it had borrowed from.</w:t>
            </w:r>
            <w:r w:rsidRPr="0034040D">
              <w:rPr>
                <w:rFonts w:eastAsiaTheme="minorEastAsia"/>
                <w:sz w:val="20"/>
                <w:szCs w:val="20"/>
              </w:rPr>
              <w:t xml:space="preserve"> </w:t>
            </w:r>
          </w:p>
        </w:tc>
      </w:tr>
    </w:tbl>
    <w:p w:rsidR="00AB7884" w:rsidRDefault="00AB7884">
      <w:pPr>
        <w:spacing w:before="120"/>
        <w:rPr>
          <w:sz w:val="22"/>
          <w:szCs w:val="22"/>
        </w:rPr>
      </w:pPr>
      <w:r>
        <w:rPr>
          <w:sz w:val="22"/>
          <w:szCs w:val="22"/>
        </w:rPr>
        <w:t>Other bodies that were set up which intensified global political and economic co-operation were:</w:t>
      </w:r>
      <w:r>
        <w:rPr>
          <w:sz w:val="22"/>
          <w:szCs w:val="22"/>
        </w:rPr>
        <w:br/>
      </w:r>
    </w:p>
    <w:p w:rsidR="00AB7884" w:rsidRDefault="00AB7884">
      <w:pPr>
        <w:pStyle w:val="ListParagraph"/>
        <w:numPr>
          <w:ilvl w:val="0"/>
          <w:numId w:val="5"/>
        </w:numPr>
        <w:spacing w:after="240"/>
        <w:ind w:left="360"/>
        <w:rPr>
          <w:sz w:val="22"/>
          <w:szCs w:val="22"/>
        </w:rPr>
      </w:pPr>
      <w:r>
        <w:rPr>
          <w:sz w:val="22"/>
          <w:szCs w:val="22"/>
        </w:rPr>
        <w:t xml:space="preserve">The European Economic Community (EEC) was founded in 1958, by an international agreement called the Treaty of Rome (renamed Treaty on the functioning of the European Union in 2009), which was signed in 1957 by Belgium, France, Italy, Luxembourg, the Netherlands and West Germany. </w:t>
      </w:r>
    </w:p>
    <w:p w:rsidR="00AB7884" w:rsidRDefault="00AB7884">
      <w:pPr>
        <w:pStyle w:val="ListParagraph"/>
        <w:numPr>
          <w:ilvl w:val="0"/>
          <w:numId w:val="5"/>
        </w:numPr>
        <w:spacing w:after="120"/>
        <w:ind w:left="357" w:hanging="357"/>
        <w:rPr>
          <w:sz w:val="22"/>
          <w:szCs w:val="22"/>
        </w:rPr>
      </w:pPr>
      <w:r>
        <w:rPr>
          <w:sz w:val="22"/>
          <w:szCs w:val="22"/>
        </w:rPr>
        <w:t>The Organisation of Petroleum Exporting Countries (OPEC) was established in 1960 to unify and coordinate the petroleum policies of oil-rich nations. Member states include (inter alia) Iran, Iraq, Kuwait, Saudi Arabia, Venezuela, Algeria, Ecuador, Gabon, Libya, Qatar, Nigeria and the United Arab Emirates.</w:t>
      </w:r>
    </w:p>
    <w:p w:rsidR="00AB7884" w:rsidRDefault="00AB7884">
      <w:pPr>
        <w:pStyle w:val="ListParagraph"/>
        <w:numPr>
          <w:ilvl w:val="0"/>
          <w:numId w:val="5"/>
        </w:numPr>
        <w:ind w:left="360"/>
        <w:rPr>
          <w:sz w:val="22"/>
          <w:szCs w:val="22"/>
        </w:rPr>
      </w:pPr>
      <w:r>
        <w:rPr>
          <w:sz w:val="22"/>
          <w:szCs w:val="22"/>
        </w:rPr>
        <w:t xml:space="preserve">The Organisation of Economic Co-operation and Development (OECD) was established in 1961 as an international economic organisation, to stimulate economic progress and world trade. Most OECD members are high-income, developed countries. </w:t>
      </w:r>
    </w:p>
    <w:p w:rsidR="00AB7884" w:rsidRDefault="00AB7884">
      <w:pPr>
        <w:spacing w:before="240" w:after="120"/>
        <w:rPr>
          <w:rFonts w:ascii="Trebuchet MS" w:hAnsi="Trebuchet MS" w:cs="Trebuchet MS"/>
          <w:b/>
          <w:bCs/>
          <w:sz w:val="22"/>
          <w:szCs w:val="22"/>
        </w:rPr>
      </w:pPr>
      <w:r>
        <w:rPr>
          <w:rFonts w:ascii="Trebuchet MS" w:hAnsi="Trebuchet MS" w:cs="Trebuchet MS"/>
          <w:b/>
          <w:bCs/>
          <w:sz w:val="22"/>
          <w:szCs w:val="22"/>
        </w:rPr>
        <w:br w:type="page"/>
      </w:r>
      <w:r>
        <w:rPr>
          <w:rFonts w:ascii="Trebuchet MS" w:hAnsi="Trebuchet MS" w:cs="Trebuchet MS"/>
          <w:b/>
          <w:bCs/>
          <w:sz w:val="22"/>
          <w:szCs w:val="22"/>
        </w:rPr>
        <w:lastRenderedPageBreak/>
        <w:t>Loans to developing countries (1960s</w:t>
      </w:r>
      <w:r>
        <w:rPr>
          <w:b/>
          <w:bCs/>
          <w:sz w:val="22"/>
          <w:szCs w:val="22"/>
        </w:rPr>
        <w:t>─</w:t>
      </w:r>
      <w:r>
        <w:rPr>
          <w:rFonts w:ascii="Trebuchet MS" w:hAnsi="Trebuchet MS" w:cs="Trebuchet MS"/>
          <w:b/>
          <w:bCs/>
          <w:sz w:val="22"/>
          <w:szCs w:val="22"/>
        </w:rPr>
        <w:t>1970s)</w:t>
      </w:r>
    </w:p>
    <w:p w:rsidR="00AB7884" w:rsidRDefault="00AB7884">
      <w:pPr>
        <w:rPr>
          <w:sz w:val="22"/>
          <w:szCs w:val="22"/>
        </w:rPr>
      </w:pPr>
      <w:r>
        <w:rPr>
          <w:sz w:val="22"/>
          <w:szCs w:val="22"/>
        </w:rPr>
        <w:t>In the 1970s, OPEC quadrupled the price of oil, resulting in the first global oil supply crisis. OPEC deposited the excess ‘petrodollars’ generated by these price hikes in commercial banks in high-income, developed countries. These banks, in turn, invested the money in high-risk loans to developing countries, for large-scale agribusiness and industry. It was anticipated that the goods that the developing countries would produce for export, would generate the foreign exchange they needed to service their debts and repay the loans (Werner &amp; Sanders, 1997).</w:t>
      </w:r>
    </w:p>
    <w:p w:rsidR="00AB7884" w:rsidRDefault="00AB7884">
      <w:pPr>
        <w:spacing w:before="240" w:after="120"/>
        <w:rPr>
          <w:rFonts w:ascii="Trebuchet MS" w:hAnsi="Trebuchet MS" w:cs="Trebuchet MS"/>
          <w:b/>
          <w:bCs/>
          <w:sz w:val="22"/>
          <w:szCs w:val="22"/>
        </w:rPr>
      </w:pPr>
      <w:r>
        <w:rPr>
          <w:rFonts w:ascii="Trebuchet MS" w:hAnsi="Trebuchet MS" w:cs="Trebuchet MS"/>
          <w:b/>
          <w:bCs/>
          <w:sz w:val="22"/>
          <w:szCs w:val="22"/>
        </w:rPr>
        <w:t>The mounting burden of debt (1980s)</w:t>
      </w:r>
    </w:p>
    <w:p w:rsidR="00AB7884" w:rsidRDefault="00AB7884">
      <w:pPr>
        <w:rPr>
          <w:sz w:val="22"/>
          <w:szCs w:val="22"/>
        </w:rPr>
      </w:pPr>
      <w:r>
        <w:rPr>
          <w:sz w:val="22"/>
          <w:szCs w:val="22"/>
        </w:rPr>
        <w:t xml:space="preserve">By the early 1980s, the world was in a major economic recession. In an important policy shift, the US tightened its monetary policies in order to control inflation, and reversed the flow of petrodollars. The consequence was a hike in interest rates on loans worldwide. At the same time, the developing countries were not getting the expected returns on their exports because of reduced demand. The overall result was a reversal of flow of capital between the developed and developing world, trapping developing countries in a mounting burden of debt, which they could not repay. </w:t>
      </w:r>
    </w:p>
    <w:p w:rsidR="00AB7884" w:rsidRDefault="00AB7884">
      <w:pPr>
        <w:rPr>
          <w:sz w:val="22"/>
          <w:szCs w:val="22"/>
        </w:rPr>
      </w:pPr>
    </w:p>
    <w:p w:rsidR="00AB7884" w:rsidRDefault="00AB7884">
      <w:pPr>
        <w:rPr>
          <w:sz w:val="22"/>
          <w:szCs w:val="22"/>
        </w:rPr>
      </w:pPr>
      <w:r>
        <w:rPr>
          <w:sz w:val="22"/>
          <w:szCs w:val="22"/>
        </w:rPr>
        <w:t>The graphs in Figures 2.1.2 and 2.1.3 show the rate at which the external debt of developing countries increased in the periods 1970–1994; and 1991–2006. Into 2007, low and middle-income countries owed over US$3,5 trillion (WDI and GDF, 2010).</w:t>
      </w:r>
    </w:p>
    <w:p w:rsidR="00AB7884" w:rsidRDefault="00AB7884">
      <w:pPr>
        <w:spacing w:before="240" w:after="120" w:line="276" w:lineRule="auto"/>
        <w:rPr>
          <w:rFonts w:ascii="Trebuchet MS" w:hAnsi="Trebuchet MS" w:cs="Trebuchet MS"/>
          <w:b/>
          <w:bCs/>
          <w:sz w:val="22"/>
          <w:szCs w:val="22"/>
        </w:rPr>
      </w:pPr>
      <w:r>
        <w:rPr>
          <w:rFonts w:ascii="Trebuchet MS" w:hAnsi="Trebuchet MS" w:cs="Trebuchet MS"/>
          <w:b/>
          <w:bCs/>
          <w:sz w:val="22"/>
          <w:szCs w:val="22"/>
        </w:rPr>
        <w:t>Figure 2.1.2 External debt of developing (DOD) countries, 1970</w:t>
      </w:r>
      <w:r>
        <w:rPr>
          <w:rFonts w:ascii="Calibri" w:hAnsi="Calibri" w:cs="Calibri"/>
          <w:b/>
          <w:bCs/>
          <w:sz w:val="22"/>
          <w:szCs w:val="22"/>
        </w:rPr>
        <w:t>-</w:t>
      </w:r>
      <w:r>
        <w:rPr>
          <w:rFonts w:ascii="Trebuchet MS" w:hAnsi="Trebuchet MS" w:cs="Trebuchet MS"/>
          <w:b/>
          <w:bCs/>
          <w:sz w:val="22"/>
          <w:szCs w:val="22"/>
        </w:rPr>
        <w:t>1994</w:t>
      </w:r>
      <w:r>
        <w:rPr>
          <w:rFonts w:ascii="Trebuchet MS" w:hAnsi="Trebuchet MS" w:cs="Trebuchet MS"/>
          <w:b/>
          <w:bCs/>
          <w:sz w:val="22"/>
          <w:szCs w:val="22"/>
        </w:rPr>
        <w:br/>
        <w:t>(US$ billions)</w:t>
      </w:r>
    </w:p>
    <w:p w:rsidR="00AB7884" w:rsidRDefault="00C42A6B">
      <w:pPr>
        <w:spacing w:after="200" w:line="276" w:lineRule="auto"/>
        <w:rPr>
          <w:noProof/>
          <w:sz w:val="22"/>
          <w:szCs w:val="22"/>
          <w:lang w:val="nb-NO" w:eastAsia="nb-NO"/>
        </w:rPr>
      </w:pPr>
      <w:r w:rsidRPr="00717A10">
        <w:rPr>
          <w:noProof/>
          <w:sz w:val="22"/>
          <w:szCs w:val="22"/>
          <w:lang w:val="nb-NO" w:eastAsia="nb-NO"/>
        </w:rPr>
        <w:pict>
          <v:shape id="_x0000_i1031" type="#_x0000_t75" style="width:257.25pt;height:160.5pt;visibility:visible">
            <v:imagedata r:id="rId11" o:title="" cropbottom="7035f"/>
          </v:shape>
        </w:pict>
      </w:r>
    </w:p>
    <w:p w:rsidR="00AB7884" w:rsidRDefault="00AB7884">
      <w:pPr>
        <w:spacing w:before="120" w:after="120"/>
      </w:pPr>
      <w:r>
        <w:rPr>
          <w:b/>
          <w:bCs/>
          <w:i/>
          <w:iCs/>
        </w:rPr>
        <w:t>Source</w:t>
      </w:r>
      <w:r>
        <w:t>: World Bank</w:t>
      </w:r>
    </w:p>
    <w:p w:rsidR="00AB7884" w:rsidRDefault="00AB7884">
      <w:pPr>
        <w:spacing w:before="240" w:after="120"/>
        <w:rPr>
          <w:b/>
          <w:bCs/>
          <w:sz w:val="22"/>
          <w:szCs w:val="22"/>
        </w:rPr>
      </w:pPr>
      <w:r>
        <w:rPr>
          <w:rFonts w:ascii="Trebuchet MS" w:hAnsi="Trebuchet MS" w:cs="Trebuchet MS"/>
          <w:b/>
          <w:bCs/>
          <w:sz w:val="22"/>
          <w:szCs w:val="22"/>
        </w:rPr>
        <w:lastRenderedPageBreak/>
        <w:t>Figure 2.1.3 External debt of developing (DOD) countries, 1991</w:t>
      </w:r>
      <w:r>
        <w:rPr>
          <w:rFonts w:ascii="Calibri" w:hAnsi="Calibri" w:cs="Calibri"/>
          <w:b/>
          <w:bCs/>
          <w:sz w:val="22"/>
          <w:szCs w:val="22"/>
        </w:rPr>
        <w:t>-</w:t>
      </w:r>
      <w:r>
        <w:rPr>
          <w:rFonts w:ascii="Trebuchet MS" w:hAnsi="Trebuchet MS" w:cs="Trebuchet MS"/>
          <w:b/>
          <w:bCs/>
          <w:sz w:val="22"/>
          <w:szCs w:val="22"/>
        </w:rPr>
        <w:t>2006 (US$ in trillions)</w:t>
      </w:r>
      <w:r>
        <w:rPr>
          <w:rFonts w:ascii="Trebuchet MS" w:hAnsi="Trebuchet MS" w:cs="Trebuchet MS"/>
          <w:b/>
          <w:bCs/>
          <w:sz w:val="22"/>
          <w:szCs w:val="22"/>
        </w:rPr>
        <w:br/>
      </w:r>
      <w:r w:rsidR="00C42A6B" w:rsidRPr="00717A10">
        <w:rPr>
          <w:rFonts w:ascii="Times New Roman" w:hAnsi="Times New Roman" w:cs="Times New Roman"/>
          <w:noProof/>
          <w:lang w:val="nb-NO" w:eastAsia="nb-NO"/>
        </w:rPr>
        <w:pict>
          <v:shape id="_x0000_i1032" type="#_x0000_t75" style="width:221.25pt;height:124.5pt;visibility:visible">
            <v:imagedata r:id="rId12" o:title="" croptop="8301f" cropright="33039f"/>
          </v:shape>
        </w:pict>
      </w:r>
    </w:p>
    <w:p w:rsidR="00AB7884" w:rsidRDefault="00AB7884">
      <w:pPr>
        <w:spacing w:before="120" w:after="120"/>
      </w:pPr>
      <w:r>
        <w:rPr>
          <w:b/>
          <w:bCs/>
          <w:i/>
          <w:iCs/>
        </w:rPr>
        <w:t>Source</w:t>
      </w:r>
      <w:r>
        <w:t>: WDI and GDF, 2010</w:t>
      </w:r>
    </w:p>
    <w:p w:rsidR="00AB7884" w:rsidRDefault="00AB7884">
      <w:pPr>
        <w:spacing w:before="120" w:after="120"/>
        <w:rPr>
          <w:rFonts w:ascii="Trebuchet MS" w:hAnsi="Trebuchet MS" w:cs="Trebuchet MS"/>
          <w:b/>
          <w:bCs/>
          <w:sz w:val="22"/>
          <w:szCs w:val="22"/>
        </w:rPr>
      </w:pPr>
      <w:r>
        <w:rPr>
          <w:rFonts w:ascii="Trebuchet MS" w:hAnsi="Trebuchet MS" w:cs="Trebuchet MS"/>
          <w:b/>
          <w:bCs/>
          <w:sz w:val="22"/>
          <w:szCs w:val="22"/>
        </w:rPr>
        <w:t>Structural Adjustment Programmes (SAPs) (1980s)</w:t>
      </w:r>
    </w:p>
    <w:p w:rsidR="00AB7884" w:rsidRDefault="00AB7884">
      <w:pPr>
        <w:rPr>
          <w:sz w:val="22"/>
          <w:szCs w:val="22"/>
        </w:rPr>
      </w:pPr>
      <w:r>
        <w:rPr>
          <w:sz w:val="22"/>
          <w:szCs w:val="22"/>
        </w:rPr>
        <w:t xml:space="preserve">At the height of this debt crisis the IMF and World Bank came to the rescue of the commercial banks by offering bailout loans to developing countries to prevent them from defaulting on their loan repayments (Werner &amp; Sanders, 1997:83). However, these loans were accompanied by the conditionalities of the Structural Adjustment Programmes (SAPs). </w:t>
      </w:r>
    </w:p>
    <w:p w:rsidR="00AB7884" w:rsidRDefault="00AB7884">
      <w:pPr>
        <w:rPr>
          <w:sz w:val="22"/>
          <w:szCs w:val="22"/>
        </w:rPr>
      </w:pPr>
    </w:p>
    <w:p w:rsidR="00AB7884" w:rsidRDefault="00AB7884">
      <w:pPr>
        <w:rPr>
          <w:sz w:val="22"/>
          <w:szCs w:val="22"/>
        </w:rPr>
      </w:pPr>
      <w:r>
        <w:rPr>
          <w:sz w:val="22"/>
          <w:szCs w:val="22"/>
        </w:rPr>
        <w:t>The main condition was that developing countries needed to fundamentally restructure their economies so that they could service their foreign debts. This included:</w:t>
      </w:r>
      <w:r>
        <w:rPr>
          <w:sz w:val="22"/>
          <w:szCs w:val="22"/>
        </w:rPr>
        <w:br/>
      </w:r>
    </w:p>
    <w:p w:rsidR="00AB7884" w:rsidRDefault="00AB7884">
      <w:pPr>
        <w:pStyle w:val="ListParagraph"/>
        <w:numPr>
          <w:ilvl w:val="0"/>
          <w:numId w:val="3"/>
        </w:numPr>
        <w:rPr>
          <w:sz w:val="22"/>
          <w:szCs w:val="22"/>
        </w:rPr>
      </w:pPr>
      <w:r>
        <w:rPr>
          <w:sz w:val="22"/>
          <w:szCs w:val="22"/>
        </w:rPr>
        <w:t>devaluing local currency</w:t>
      </w:r>
    </w:p>
    <w:p w:rsidR="00AB7884" w:rsidRDefault="00AB7884">
      <w:pPr>
        <w:pStyle w:val="ListParagraph"/>
        <w:numPr>
          <w:ilvl w:val="0"/>
          <w:numId w:val="3"/>
        </w:numPr>
        <w:rPr>
          <w:sz w:val="22"/>
          <w:szCs w:val="22"/>
        </w:rPr>
      </w:pPr>
      <w:r>
        <w:rPr>
          <w:sz w:val="22"/>
          <w:szCs w:val="22"/>
        </w:rPr>
        <w:t>trade liberalisation – opening borders to foreign trade and investors, with incentives and the lowering of tariffs and other barriers to imports</w:t>
      </w:r>
    </w:p>
    <w:p w:rsidR="00AB7884" w:rsidRDefault="00AB7884">
      <w:pPr>
        <w:pStyle w:val="ListParagraph"/>
        <w:numPr>
          <w:ilvl w:val="0"/>
          <w:numId w:val="3"/>
        </w:numPr>
        <w:rPr>
          <w:sz w:val="22"/>
          <w:szCs w:val="22"/>
        </w:rPr>
      </w:pPr>
      <w:r>
        <w:rPr>
          <w:sz w:val="22"/>
          <w:szCs w:val="22"/>
        </w:rPr>
        <w:t xml:space="preserve">deregulating markets and prices </w:t>
      </w:r>
    </w:p>
    <w:p w:rsidR="00AB7884" w:rsidRDefault="00AB7884">
      <w:pPr>
        <w:pStyle w:val="ListParagraph"/>
        <w:numPr>
          <w:ilvl w:val="0"/>
          <w:numId w:val="3"/>
        </w:numPr>
        <w:rPr>
          <w:sz w:val="22"/>
          <w:szCs w:val="22"/>
        </w:rPr>
      </w:pPr>
      <w:r>
        <w:rPr>
          <w:sz w:val="22"/>
          <w:szCs w:val="22"/>
        </w:rPr>
        <w:t>privatising public enterprises and removing state subsidies</w:t>
      </w:r>
    </w:p>
    <w:p w:rsidR="00AB7884" w:rsidRDefault="00AB7884">
      <w:pPr>
        <w:pStyle w:val="ListParagraph"/>
        <w:numPr>
          <w:ilvl w:val="0"/>
          <w:numId w:val="3"/>
        </w:numPr>
        <w:rPr>
          <w:sz w:val="22"/>
          <w:szCs w:val="22"/>
        </w:rPr>
      </w:pPr>
      <w:r>
        <w:rPr>
          <w:sz w:val="22"/>
          <w:szCs w:val="22"/>
        </w:rPr>
        <w:t>reducing public sector employment and spending on health, education and other social services</w:t>
      </w:r>
    </w:p>
    <w:p w:rsidR="00AB7884" w:rsidRDefault="00AB7884">
      <w:pPr>
        <w:pStyle w:val="ListParagraph"/>
        <w:numPr>
          <w:ilvl w:val="0"/>
          <w:numId w:val="3"/>
        </w:numPr>
        <w:rPr>
          <w:sz w:val="22"/>
          <w:szCs w:val="22"/>
        </w:rPr>
      </w:pPr>
      <w:r>
        <w:rPr>
          <w:sz w:val="22"/>
          <w:szCs w:val="22"/>
        </w:rPr>
        <w:t xml:space="preserve">introducing cost recovery measures (user fees) in health and education. </w:t>
      </w:r>
    </w:p>
    <w:p w:rsidR="00AB7884" w:rsidRDefault="00AB7884">
      <w:pPr>
        <w:pStyle w:val="ListParagraph"/>
        <w:rPr>
          <w:sz w:val="22"/>
          <w:szCs w:val="22"/>
        </w:rPr>
      </w:pPr>
    </w:p>
    <w:p w:rsidR="00AB7884" w:rsidRDefault="00AB7884">
      <w:pPr>
        <w:rPr>
          <w:sz w:val="22"/>
          <w:szCs w:val="22"/>
        </w:rPr>
      </w:pPr>
      <w:r>
        <w:rPr>
          <w:sz w:val="22"/>
          <w:szCs w:val="22"/>
        </w:rPr>
        <w:t>A major consequence of SAPs, specifically of trade liberalisation, was to accelerate the integration of the economies of developing countries into the global economy. However, as we saw in Unit 1, this was not unproblematic, and together with other conditions in each country, gave rise to extremely unequal distribution of income and wealth across developed and developing countries (Labonté &amp; Schrecker, 2007). Many people in developing countries lost their livelihoods because of foreign competition. In addition, the conditionalities attached to SAPs meant that the ability of many States to redistribute resources to meet the basic needs of their populations had been reduced or diminished.</w:t>
      </w:r>
    </w:p>
    <w:p w:rsidR="00AB7884" w:rsidRDefault="00AB788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34040D" w:rsidTr="0021531A">
        <w:tc>
          <w:tcPr>
            <w:tcW w:w="8190" w:type="dxa"/>
          </w:tcPr>
          <w:p w:rsidR="00AB7884" w:rsidRPr="0034040D" w:rsidRDefault="00AB7884">
            <w:pPr>
              <w:spacing w:before="120" w:after="120"/>
              <w:rPr>
                <w:rFonts w:ascii="Trebuchet MS" w:eastAsiaTheme="minorEastAsia" w:hAnsi="Trebuchet MS" w:cs="Trebuchet MS"/>
                <w:b/>
                <w:bCs/>
              </w:rPr>
            </w:pPr>
            <w:r w:rsidRPr="0034040D">
              <w:rPr>
                <w:rFonts w:ascii="Trebuchet MS" w:eastAsiaTheme="minorEastAsia" w:hAnsi="Trebuchet MS" w:cs="Trebuchet MS"/>
                <w:b/>
                <w:bCs/>
              </w:rPr>
              <w:t>An interesting observation</w:t>
            </w:r>
          </w:p>
          <w:p w:rsidR="00AB7884" w:rsidRPr="0034040D" w:rsidRDefault="00AB7884">
            <w:pPr>
              <w:spacing w:before="120" w:after="120"/>
              <w:rPr>
                <w:rFonts w:eastAsiaTheme="minorEastAsia"/>
                <w:sz w:val="22"/>
                <w:szCs w:val="22"/>
              </w:rPr>
            </w:pPr>
            <w:r w:rsidRPr="0034040D">
              <w:rPr>
                <w:rFonts w:ascii="Trebuchet MS" w:eastAsiaTheme="minorEastAsia" w:hAnsi="Trebuchet MS" w:cs="Trebuchet MS"/>
              </w:rPr>
              <w:t>Many of the governments of developing countries which were subjected to SAPS chose to spend huge amounts of money on military defence – money which otherwise could have been used for basic population needs.</w:t>
            </w:r>
          </w:p>
        </w:tc>
      </w:tr>
    </w:tbl>
    <w:p w:rsidR="00AB7884" w:rsidRDefault="00AB7884">
      <w:pPr>
        <w:spacing w:before="240" w:after="120"/>
        <w:rPr>
          <w:rFonts w:ascii="Trebuchet MS" w:hAnsi="Trebuchet MS" w:cs="Trebuchet MS"/>
          <w:b/>
          <w:bCs/>
          <w:sz w:val="22"/>
          <w:szCs w:val="22"/>
        </w:rPr>
      </w:pPr>
    </w:p>
    <w:p w:rsidR="00AB7884" w:rsidRDefault="00AB7884">
      <w:pPr>
        <w:spacing w:before="240" w:after="120"/>
        <w:rPr>
          <w:rFonts w:ascii="Trebuchet MS" w:hAnsi="Trebuchet MS" w:cs="Trebuchet MS"/>
          <w:b/>
          <w:bCs/>
          <w:sz w:val="22"/>
          <w:szCs w:val="22"/>
        </w:rPr>
      </w:pPr>
    </w:p>
    <w:p w:rsidR="00AB7884" w:rsidRDefault="00AB7884">
      <w:pPr>
        <w:spacing w:before="240" w:after="120"/>
        <w:rPr>
          <w:rFonts w:ascii="Trebuchet MS" w:hAnsi="Trebuchet MS" w:cs="Trebuchet MS"/>
          <w:b/>
          <w:bCs/>
          <w:sz w:val="22"/>
          <w:szCs w:val="22"/>
        </w:rPr>
      </w:pPr>
      <w:r>
        <w:rPr>
          <w:rFonts w:ascii="Trebuchet MS" w:hAnsi="Trebuchet MS" w:cs="Trebuchet MS"/>
          <w:b/>
          <w:bCs/>
          <w:sz w:val="22"/>
          <w:szCs w:val="22"/>
        </w:rPr>
        <w:lastRenderedPageBreak/>
        <w:t>A name change with the same conditions</w:t>
      </w:r>
    </w:p>
    <w:p w:rsidR="00AB7884" w:rsidRDefault="00AB7884">
      <w:pPr>
        <w:rPr>
          <w:sz w:val="22"/>
          <w:szCs w:val="22"/>
        </w:rPr>
      </w:pPr>
      <w:r>
        <w:rPr>
          <w:sz w:val="22"/>
          <w:szCs w:val="22"/>
        </w:rPr>
        <w:t xml:space="preserve">Over time the IMF and World Bank transformed or incorporated SAPs into other programmes, for example, Enhanced Structural Adjustment Programmes (ESAPs), Heavily Indebted Poor Countries Initiative (HIPC), Multilateral Debt Relief Initiative (MDRI), Poverty Reduction Strategy Papers (PRSP), and Poverty Reduction and Growth Facilities (PRGF). However the conditionalities remained essentially the same, with the main condition being that developing countries prioritise their export markets. </w:t>
      </w:r>
      <w:r>
        <w:rPr>
          <w:sz w:val="22"/>
          <w:szCs w:val="22"/>
        </w:rPr>
        <w:br/>
      </w:r>
    </w:p>
    <w:p w:rsidR="00AB7884" w:rsidRDefault="00AB7884">
      <w:pPr>
        <w:rPr>
          <w:sz w:val="22"/>
          <w:szCs w:val="22"/>
        </w:rPr>
      </w:pPr>
      <w:r>
        <w:rPr>
          <w:sz w:val="22"/>
          <w:szCs w:val="22"/>
        </w:rPr>
        <w:t xml:space="preserve">The problem, according to Ruddin &amp; Sanders (2011), is that most of these countries rely on mining and agriculture and thus would be exporting similar products, to the same markets. It was inevitable that this would result in: (a) the market being flooded; (b) increased competition between countries; and (c) prices falling as a result of overproduction of these commodities, resulting in further debt. </w:t>
      </w:r>
    </w:p>
    <w:p w:rsidR="00AB7884" w:rsidRDefault="00AB7884">
      <w:pPr>
        <w:spacing w:before="240" w:after="120"/>
        <w:rPr>
          <w:rFonts w:ascii="Trebuchet MS" w:hAnsi="Trebuchet MS" w:cs="Trebuchet MS"/>
          <w:b/>
          <w:bCs/>
          <w:sz w:val="22"/>
          <w:szCs w:val="22"/>
        </w:rPr>
      </w:pPr>
      <w:r>
        <w:rPr>
          <w:rFonts w:ascii="Trebuchet MS" w:hAnsi="Trebuchet MS" w:cs="Trebuchet MS"/>
          <w:b/>
          <w:bCs/>
          <w:sz w:val="22"/>
          <w:szCs w:val="22"/>
        </w:rPr>
        <w:t>The World Trade Organisation (1990s)</w:t>
      </w:r>
    </w:p>
    <w:p w:rsidR="00AB7884" w:rsidRDefault="00AB7884">
      <w:pPr>
        <w:rPr>
          <w:sz w:val="22"/>
          <w:szCs w:val="22"/>
        </w:rPr>
      </w:pPr>
      <w:r>
        <w:rPr>
          <w:sz w:val="22"/>
          <w:szCs w:val="22"/>
        </w:rPr>
        <w:t xml:space="preserve">On 1 January 1995, the World Trade Organisation (WTO) replaced GATT and by 2011 it had 145 member countries – the bulk of the world’s trading nations. It has a much broader scope than GATT, which regulated trade in merchandise goods only. The WTO also covers trade in services and other issues, such as intellectual property rights. </w:t>
      </w:r>
    </w:p>
    <w:p w:rsidR="00AB7884" w:rsidRDefault="00AB788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34040D" w:rsidTr="0021531A">
        <w:trPr>
          <w:trHeight w:val="1273"/>
        </w:trPr>
        <w:tc>
          <w:tcPr>
            <w:tcW w:w="8190" w:type="dxa"/>
          </w:tcPr>
          <w:p w:rsidR="00AB7884" w:rsidRPr="0034040D" w:rsidRDefault="00AB7884">
            <w:pPr>
              <w:pStyle w:val="Heading7"/>
              <w:rPr>
                <w:rFonts w:ascii="Trebuchet MS" w:eastAsiaTheme="minorEastAsia" w:hAnsi="Trebuchet MS" w:cs="Trebuchet MS"/>
              </w:rPr>
            </w:pPr>
            <w:r w:rsidRPr="0034040D">
              <w:rPr>
                <w:rFonts w:ascii="Trebuchet MS" w:eastAsiaTheme="minorEastAsia" w:hAnsi="Trebuchet MS" w:cs="Trebuchet MS"/>
              </w:rPr>
              <w:t>GLOSSARY</w:t>
            </w:r>
          </w:p>
          <w:p w:rsidR="00AB7884" w:rsidRPr="0034040D" w:rsidRDefault="00AB7884">
            <w:pPr>
              <w:rPr>
                <w:rFonts w:ascii="Trebuchet MS" w:eastAsiaTheme="minorEastAsia" w:hAnsi="Trebuchet MS" w:cs="Trebuchet MS"/>
              </w:rPr>
            </w:pPr>
            <w:r w:rsidRPr="0034040D">
              <w:rPr>
                <w:rFonts w:ascii="Trebuchet MS" w:eastAsiaTheme="minorEastAsia" w:hAnsi="Trebuchet MS" w:cs="Trebuchet MS"/>
                <w:b/>
                <w:bCs/>
              </w:rPr>
              <w:t>Intellectual Property Rights (IRP):</w:t>
            </w:r>
            <w:r w:rsidRPr="0034040D">
              <w:rPr>
                <w:rFonts w:ascii="Trebuchet MS" w:eastAsiaTheme="minorEastAsia" w:hAnsi="Trebuchet MS" w:cs="Trebuchet MS"/>
              </w:rPr>
              <w:t xml:space="preserve"> Ownership of ideas, including literary and artistic works (protected by copyright), inventions (protected by patents), signs for distinguishing goods of an enterprise (protected by trademarks) and other elements of industrial property (WTO Glossary).</w:t>
            </w:r>
          </w:p>
          <w:p w:rsidR="00AB7884" w:rsidRPr="0034040D" w:rsidRDefault="00AB7884">
            <w:pPr>
              <w:rPr>
                <w:rFonts w:eastAsiaTheme="minorEastAsia"/>
                <w:sz w:val="22"/>
                <w:szCs w:val="22"/>
              </w:rPr>
            </w:pPr>
          </w:p>
        </w:tc>
      </w:tr>
    </w:tbl>
    <w:p w:rsidR="00AB7884" w:rsidRDefault="00AB7884"/>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2"/>
        <w:gridCol w:w="6908"/>
      </w:tblGrid>
      <w:tr w:rsidR="00AB7884" w:rsidRPr="0034040D" w:rsidTr="0021531A">
        <w:trPr>
          <w:trHeight w:val="1104"/>
        </w:trPr>
        <w:tc>
          <w:tcPr>
            <w:tcW w:w="1282" w:type="dxa"/>
          </w:tcPr>
          <w:p w:rsidR="00AB7884" w:rsidRPr="0034040D" w:rsidRDefault="00C42A6B">
            <w:pPr>
              <w:spacing w:before="120" w:after="120"/>
              <w:rPr>
                <w:rFonts w:ascii="Trebuchet MS" w:eastAsiaTheme="minorEastAsia" w:hAnsi="Trebuchet MS" w:cs="Trebuchet MS"/>
                <w:b/>
                <w:bCs/>
                <w:sz w:val="22"/>
                <w:szCs w:val="22"/>
              </w:rPr>
            </w:pPr>
            <w:r w:rsidRPr="00717A10">
              <w:rPr>
                <w:rFonts w:ascii="Trebuchet MS" w:eastAsiaTheme="minorEastAsia" w:hAnsi="Trebuchet MS" w:cs="Trebuchet MS"/>
                <w:noProof/>
                <w:sz w:val="22"/>
                <w:szCs w:val="22"/>
                <w:lang w:val="en-ZA" w:eastAsia="en-ZA"/>
              </w:rPr>
              <w:pict>
                <v:shape id="Picture 23" o:spid="_x0000_i1033" type="#_x0000_t75" style="width:53.25pt;height:59.25pt;visibility:visible">
                  <v:imagedata r:id="rId13" o:title=""/>
                </v:shape>
              </w:pict>
            </w:r>
          </w:p>
        </w:tc>
        <w:tc>
          <w:tcPr>
            <w:tcW w:w="6908" w:type="dxa"/>
          </w:tcPr>
          <w:p w:rsidR="00AB7884" w:rsidRPr="0034040D" w:rsidRDefault="00AB7884">
            <w:pPr>
              <w:pStyle w:val="Foote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Internet Resource</w:t>
            </w:r>
          </w:p>
          <w:p w:rsidR="00AB7884" w:rsidRPr="005A5796" w:rsidRDefault="00AB7884">
            <w:pPr>
              <w:autoSpaceDE w:val="0"/>
              <w:autoSpaceDN w:val="0"/>
              <w:adjustRightInd w:val="0"/>
              <w:rPr>
                <w:rFonts w:eastAsiaTheme="minorEastAsia"/>
              </w:rPr>
            </w:pPr>
            <w:r w:rsidRPr="0034040D">
              <w:rPr>
                <w:rFonts w:ascii="Trebuchet MS" w:eastAsiaTheme="minorEastAsia" w:hAnsi="Trebuchet MS" w:cs="Trebuchet MS"/>
                <w:sz w:val="22"/>
                <w:szCs w:val="22"/>
              </w:rPr>
              <w:t>The World Trade Organisation has a useful glossary of WTO terms used in t</w:t>
            </w:r>
            <w:r w:rsidRPr="005A5796">
              <w:rPr>
                <w:rFonts w:ascii="Trebuchet MS" w:eastAsiaTheme="minorEastAsia" w:hAnsi="Trebuchet MS" w:cs="Trebuchet MS"/>
                <w:sz w:val="22"/>
                <w:szCs w:val="22"/>
              </w:rPr>
              <w:t xml:space="preserve">he WTO and in international trade. See the webpage: </w:t>
            </w:r>
            <w:hyperlink r:id="rId14" w:history="1">
              <w:r w:rsidRPr="005A5796">
                <w:rPr>
                  <w:rStyle w:val="Hyperlink"/>
                  <w:rFonts w:ascii="Trebuchet MS" w:eastAsiaTheme="minorEastAsia" w:hAnsi="Trebuchet MS" w:cs="Trebuchet MS"/>
                  <w:u w:val="none"/>
                </w:rPr>
                <w:t>http://www.wto.org/english/thewto_e/glossary_e/glossary_e.htm</w:t>
              </w:r>
            </w:hyperlink>
          </w:p>
          <w:p w:rsidR="00AB7884" w:rsidRPr="0034040D" w:rsidRDefault="00717A10">
            <w:pPr>
              <w:autoSpaceDE w:val="0"/>
              <w:autoSpaceDN w:val="0"/>
              <w:adjustRightInd w:val="0"/>
              <w:rPr>
                <w:rFonts w:ascii="Times New Roman" w:eastAsiaTheme="minorEastAsia" w:hAnsi="Times New Roman" w:cs="Times New Roman"/>
              </w:rPr>
            </w:pPr>
            <w:hyperlink r:id="rId15" w:history="1">
              <w:r w:rsidR="00AB7884" w:rsidRPr="005A5796">
                <w:rPr>
                  <w:rStyle w:val="Hyperlink"/>
                  <w:rFonts w:ascii="Arial" w:eastAsiaTheme="minorEastAsia" w:hAnsi="Arial" w:cs="Arial"/>
                  <w:u w:val="none"/>
                </w:rPr>
                <w:t>http://www.pbs.org/now/science/climatechange.html</w:t>
              </w:r>
            </w:hyperlink>
          </w:p>
          <w:p w:rsidR="00AB7884" w:rsidRPr="0034040D" w:rsidRDefault="00AB7884">
            <w:pPr>
              <w:pStyle w:val="Text0"/>
              <w:spacing w:after="0" w:line="240" w:lineRule="auto"/>
              <w:ind w:left="0"/>
              <w:rPr>
                <w:rFonts w:ascii="Arial" w:eastAsiaTheme="minorEastAsia" w:hAnsi="Arial" w:cs="Arial"/>
                <w:sz w:val="22"/>
                <w:szCs w:val="22"/>
              </w:rPr>
            </w:pPr>
            <w:r w:rsidRPr="0034040D">
              <w:rPr>
                <w:rFonts w:ascii="Arial" w:eastAsiaTheme="minorEastAsia" w:hAnsi="Arial" w:cs="Arial"/>
                <w:sz w:val="22"/>
                <w:szCs w:val="22"/>
              </w:rPr>
              <w:t xml:space="preserve"> [Downloaded: 30 .9.11].</w:t>
            </w:r>
          </w:p>
          <w:p w:rsidR="00AB7884" w:rsidRPr="0034040D" w:rsidRDefault="00AB7884">
            <w:pPr>
              <w:autoSpaceDE w:val="0"/>
              <w:autoSpaceDN w:val="0"/>
              <w:adjustRightInd w:val="0"/>
              <w:rPr>
                <w:rFonts w:ascii="Trebuchet MS" w:eastAsiaTheme="minorEastAsia" w:hAnsi="Trebuchet MS" w:cs="Trebuchet MS"/>
                <w:b/>
                <w:bCs/>
                <w:sz w:val="22"/>
                <w:szCs w:val="22"/>
              </w:rPr>
            </w:pPr>
          </w:p>
        </w:tc>
      </w:tr>
    </w:tbl>
    <w:p w:rsidR="00AB7884" w:rsidRDefault="00AB7884">
      <w:pPr>
        <w:spacing w:before="240" w:after="120"/>
        <w:rPr>
          <w:sz w:val="22"/>
          <w:szCs w:val="22"/>
        </w:rPr>
      </w:pPr>
      <w:r>
        <w:rPr>
          <w:sz w:val="22"/>
          <w:szCs w:val="22"/>
        </w:rPr>
        <w:t>According to the WTO:</w:t>
      </w:r>
    </w:p>
    <w:p w:rsidR="00AB7884" w:rsidRDefault="00AB7884">
      <w:pPr>
        <w:pStyle w:val="ListParagraph"/>
        <w:numPr>
          <w:ilvl w:val="0"/>
          <w:numId w:val="2"/>
        </w:numPr>
        <w:tabs>
          <w:tab w:val="num" w:pos="360"/>
        </w:tabs>
        <w:ind w:left="360"/>
        <w:rPr>
          <w:sz w:val="22"/>
          <w:szCs w:val="22"/>
        </w:rPr>
      </w:pPr>
      <w:r>
        <w:rPr>
          <w:sz w:val="22"/>
          <w:szCs w:val="22"/>
        </w:rPr>
        <w:t>It is an organisation set up to liberalise global trade by lowering trade barriers on products, financial investment/flows and services.</w:t>
      </w:r>
    </w:p>
    <w:p w:rsidR="00AB7884" w:rsidRDefault="00AB7884">
      <w:pPr>
        <w:pStyle w:val="ListParagraph"/>
        <w:numPr>
          <w:ilvl w:val="0"/>
          <w:numId w:val="2"/>
        </w:numPr>
        <w:tabs>
          <w:tab w:val="num" w:pos="360"/>
        </w:tabs>
        <w:ind w:left="360"/>
        <w:rPr>
          <w:sz w:val="22"/>
          <w:szCs w:val="22"/>
        </w:rPr>
      </w:pPr>
      <w:r>
        <w:rPr>
          <w:sz w:val="22"/>
          <w:szCs w:val="22"/>
        </w:rPr>
        <w:t xml:space="preserve">It is a forum for member countries to negotiate global trade agreements and settle trade disputes. </w:t>
      </w:r>
    </w:p>
    <w:p w:rsidR="00AB7884" w:rsidRDefault="00AB7884">
      <w:pPr>
        <w:pStyle w:val="ListParagraph"/>
        <w:numPr>
          <w:ilvl w:val="0"/>
          <w:numId w:val="2"/>
        </w:numPr>
        <w:ind w:left="360"/>
        <w:rPr>
          <w:sz w:val="22"/>
          <w:szCs w:val="22"/>
        </w:rPr>
      </w:pPr>
      <w:r>
        <w:rPr>
          <w:sz w:val="22"/>
          <w:szCs w:val="22"/>
        </w:rPr>
        <w:t>It operates a system of trade ground-rules, which have been negotiated and signed by member countries. For example, WTO members are under threat of sanctions if they are found to be in violation of these ground-rules.</w:t>
      </w:r>
    </w:p>
    <w:p w:rsidR="00AB7884" w:rsidRDefault="00AB7884">
      <w:pPr>
        <w:spacing w:before="100" w:beforeAutospacing="1" w:after="100" w:afterAutospacing="1"/>
        <w:rPr>
          <w:sz w:val="22"/>
          <w:szCs w:val="22"/>
          <w:lang w:val="en-ZA" w:eastAsia="en-ZA"/>
        </w:rPr>
      </w:pPr>
      <w:r>
        <w:rPr>
          <w:sz w:val="22"/>
          <w:szCs w:val="22"/>
        </w:rPr>
        <w:t>The WTO oversees approximately 30 agreements and schedules, entered into by individual members in specific areas. In terms of public health, some of the most</w:t>
      </w:r>
      <w:r>
        <w:rPr>
          <w:sz w:val="22"/>
          <w:szCs w:val="22"/>
          <w:lang w:val="en-ZA" w:eastAsia="en-ZA"/>
        </w:rPr>
        <w:t xml:space="preserve"> important trade agreements, which are overseen by WTO are:</w:t>
      </w:r>
    </w:p>
    <w:p w:rsidR="00AB7884" w:rsidRDefault="00AB7884" w:rsidP="007F44B4">
      <w:pPr>
        <w:numPr>
          <w:ilvl w:val="0"/>
          <w:numId w:val="12"/>
        </w:numPr>
        <w:spacing w:before="100" w:beforeAutospacing="1" w:after="120"/>
        <w:ind w:left="357" w:hanging="357"/>
        <w:rPr>
          <w:rFonts w:ascii="Times New Roman" w:hAnsi="Times New Roman" w:cs="Times New Roman"/>
          <w:sz w:val="22"/>
          <w:szCs w:val="22"/>
        </w:rPr>
      </w:pPr>
      <w:r>
        <w:rPr>
          <w:b/>
          <w:bCs/>
          <w:sz w:val="22"/>
          <w:szCs w:val="22"/>
          <w:lang w:val="en-ZA" w:eastAsia="en-ZA"/>
        </w:rPr>
        <w:lastRenderedPageBreak/>
        <w:t xml:space="preserve">The General Agreement on Trade in Services (GATS): </w:t>
      </w:r>
      <w:r>
        <w:rPr>
          <w:sz w:val="22"/>
          <w:szCs w:val="22"/>
          <w:lang w:val="en-ZA" w:eastAsia="en-ZA"/>
        </w:rPr>
        <w:t>This agreement covers the trade in services, including the trade in health services in the global labour market. Critics argue that GATS has the potential to perpetuate social stratification and injustice by encouraging the international migration of human resources for health and undermining the capacity of health systems to address health inequities. In Unit 4, Study Session 1 we will look at this in more detail.</w:t>
      </w:r>
    </w:p>
    <w:p w:rsidR="00AB7884" w:rsidRDefault="00AB7884" w:rsidP="007F44B4">
      <w:pPr>
        <w:numPr>
          <w:ilvl w:val="0"/>
          <w:numId w:val="12"/>
        </w:numPr>
        <w:rPr>
          <w:sz w:val="22"/>
          <w:szCs w:val="22"/>
        </w:rPr>
      </w:pPr>
      <w:r>
        <w:rPr>
          <w:b/>
          <w:bCs/>
          <w:sz w:val="22"/>
          <w:szCs w:val="22"/>
          <w:lang w:val="en-ZA" w:eastAsia="en-ZA"/>
        </w:rPr>
        <w:t>Trade-Related Aspects of Intellectual Property (TRIPS):</w:t>
      </w:r>
      <w:r>
        <w:rPr>
          <w:sz w:val="22"/>
          <w:szCs w:val="22"/>
          <w:lang w:val="en-ZA" w:eastAsia="en-ZA"/>
        </w:rPr>
        <w:t xml:space="preserve">  This agreement grants monopoly rights to intellectual property through a system of patents, copyright and trademarks. On the one hand, the pharmaceutical industry, for example, argues that without this form of protection, once its products are released for public consumption they are easy to copy. On the other hand, critics argue that TRIPS interferes with the free market because it protects the ‘inventor’ from competition, establishes a monopoly, pushes up prices and makes lifesaving treatment unaffordable to the poor. </w:t>
      </w:r>
      <w:r>
        <w:rPr>
          <w:sz w:val="22"/>
          <w:szCs w:val="22"/>
        </w:rPr>
        <w:t xml:space="preserve">The question we need to ask is: How does TRIPS help to protect the goals of health and health equity, one aspect of which is equal access to essential medicines? </w:t>
      </w:r>
      <w:r>
        <w:rPr>
          <w:sz w:val="22"/>
          <w:szCs w:val="22"/>
          <w:lang w:val="en-ZA" w:eastAsia="en-ZA"/>
        </w:rPr>
        <w:t>We will discuss this in more detail in Study Session 3.</w:t>
      </w:r>
    </w:p>
    <w:p w:rsidR="00AB7884" w:rsidRDefault="00AB7884">
      <w:pPr>
        <w:ind w:left="360"/>
        <w:rPr>
          <w:rFonts w:ascii="Times New Roman" w:hAnsi="Times New Roman" w:cs="Times New Roman"/>
          <w:sz w:val="22"/>
          <w:szCs w:val="22"/>
        </w:rPr>
      </w:pPr>
    </w:p>
    <w:p w:rsidR="00AB7884" w:rsidRDefault="00AB7884" w:rsidP="007F44B4">
      <w:pPr>
        <w:numPr>
          <w:ilvl w:val="0"/>
          <w:numId w:val="12"/>
        </w:numPr>
        <w:rPr>
          <w:sz w:val="22"/>
          <w:szCs w:val="22"/>
          <w:lang w:val="en-ZA" w:eastAsia="en-ZA"/>
        </w:rPr>
      </w:pPr>
      <w:r>
        <w:rPr>
          <w:b/>
          <w:bCs/>
          <w:sz w:val="22"/>
          <w:szCs w:val="22"/>
          <w:lang w:val="en-ZA" w:eastAsia="en-ZA"/>
        </w:rPr>
        <w:t xml:space="preserve">Agreement on Technical Barriers to Trade (TBT): </w:t>
      </w:r>
      <w:r>
        <w:rPr>
          <w:sz w:val="22"/>
          <w:szCs w:val="22"/>
          <w:lang w:val="en-ZA" w:eastAsia="en-ZA"/>
        </w:rPr>
        <w:t>According to the WTO this agreement tries to ensure that:</w:t>
      </w:r>
      <w:r>
        <w:rPr>
          <w:sz w:val="22"/>
          <w:szCs w:val="22"/>
          <w:lang w:val="en-ZA" w:eastAsia="en-ZA"/>
        </w:rPr>
        <w:br/>
      </w:r>
    </w:p>
    <w:p w:rsidR="00AB7884" w:rsidRDefault="00AB7884" w:rsidP="007F44B4">
      <w:pPr>
        <w:numPr>
          <w:ilvl w:val="1"/>
          <w:numId w:val="12"/>
        </w:numPr>
        <w:rPr>
          <w:sz w:val="22"/>
          <w:szCs w:val="22"/>
          <w:lang w:val="en-ZA" w:eastAsia="en-ZA"/>
        </w:rPr>
      </w:pPr>
      <w:r>
        <w:rPr>
          <w:sz w:val="22"/>
          <w:szCs w:val="22"/>
          <w:lang w:val="en-ZA" w:eastAsia="en-ZA"/>
        </w:rPr>
        <w:t>technical regulations, product standards, testing and certification procedures do not create unnecessary barriers to trade</w:t>
      </w:r>
    </w:p>
    <w:p w:rsidR="00AB7884" w:rsidRDefault="00AB7884" w:rsidP="007F44B4">
      <w:pPr>
        <w:numPr>
          <w:ilvl w:val="1"/>
          <w:numId w:val="12"/>
        </w:numPr>
        <w:spacing w:before="100" w:beforeAutospacing="1" w:after="100" w:afterAutospacing="1"/>
        <w:rPr>
          <w:sz w:val="22"/>
          <w:szCs w:val="22"/>
          <w:lang w:val="en-ZA" w:eastAsia="en-ZA"/>
        </w:rPr>
      </w:pPr>
      <w:r>
        <w:rPr>
          <w:sz w:val="22"/>
          <w:szCs w:val="22"/>
          <w:lang w:val="en-ZA" w:eastAsia="en-ZA"/>
        </w:rPr>
        <w:t>regulations and standards are also not used as an excuse for protectionism (i.e. to protect domestic producers)</w:t>
      </w:r>
    </w:p>
    <w:p w:rsidR="00AB7884" w:rsidRDefault="00AB7884" w:rsidP="007F44B4">
      <w:pPr>
        <w:numPr>
          <w:ilvl w:val="1"/>
          <w:numId w:val="12"/>
        </w:numPr>
        <w:spacing w:before="100" w:beforeAutospacing="1" w:after="100" w:afterAutospacing="1"/>
        <w:rPr>
          <w:sz w:val="22"/>
          <w:szCs w:val="22"/>
          <w:lang w:val="en-ZA" w:eastAsia="en-ZA"/>
        </w:rPr>
      </w:pPr>
      <w:r>
        <w:rPr>
          <w:sz w:val="22"/>
          <w:szCs w:val="22"/>
          <w:lang w:val="en-ZA" w:eastAsia="en-ZA"/>
        </w:rPr>
        <w:t xml:space="preserve">members have the right to implement their own standards in order to protect human health and safety, or the safety of the environment.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1"/>
      </w:tblGrid>
      <w:tr w:rsidR="00AB7884" w:rsidRPr="0034040D" w:rsidTr="0021531A">
        <w:tc>
          <w:tcPr>
            <w:tcW w:w="8361" w:type="dxa"/>
          </w:tcPr>
          <w:p w:rsidR="00AB7884" w:rsidRPr="0034040D" w:rsidRDefault="00AB7884">
            <w:pPr>
              <w:pStyle w:val="CommentSubject"/>
              <w:spacing w:before="120" w:after="120"/>
              <w:rPr>
                <w:rFonts w:ascii="Trebuchet MS" w:eastAsiaTheme="minorEastAsia" w:hAnsi="Trebuchet MS" w:cs="Trebuchet MS"/>
                <w:lang w:val="en-ZA" w:eastAsia="en-ZA"/>
              </w:rPr>
            </w:pPr>
            <w:r w:rsidRPr="0034040D">
              <w:rPr>
                <w:rFonts w:ascii="Trebuchet MS" w:eastAsiaTheme="minorEastAsia" w:hAnsi="Trebuchet MS" w:cs="Trebuchet MS"/>
                <w:lang w:val="en-ZA" w:eastAsia="en-ZA"/>
              </w:rPr>
              <w:t>GLOSSARY</w:t>
            </w:r>
          </w:p>
          <w:p w:rsidR="00AB7884" w:rsidRPr="0034040D" w:rsidRDefault="00AB7884">
            <w:pPr>
              <w:spacing w:before="120" w:after="120"/>
              <w:rPr>
                <w:rFonts w:eastAsiaTheme="minorEastAsia"/>
                <w:lang w:val="en-ZA" w:eastAsia="en-ZA"/>
              </w:rPr>
            </w:pPr>
            <w:r w:rsidRPr="0034040D">
              <w:rPr>
                <w:rFonts w:ascii="Trebuchet MS" w:eastAsiaTheme="minorEastAsia" w:hAnsi="Trebuchet MS" w:cs="Trebuchet MS"/>
                <w:b/>
                <w:bCs/>
                <w:lang w:val="en-ZA" w:eastAsia="en-ZA"/>
              </w:rPr>
              <w:t>Protectionism</w:t>
            </w:r>
            <w:r w:rsidRPr="0034040D">
              <w:rPr>
                <w:rFonts w:ascii="Trebuchet MS" w:eastAsiaTheme="minorEastAsia" w:hAnsi="Trebuchet MS" w:cs="Trebuchet MS"/>
                <w:lang w:val="en-ZA" w:eastAsia="en-ZA"/>
              </w:rPr>
              <w:t xml:space="preserve">: To shield or protect </w:t>
            </w:r>
            <w:r w:rsidRPr="0034040D">
              <w:rPr>
                <w:rFonts w:ascii="Trebuchet MS" w:eastAsiaTheme="minorEastAsia" w:hAnsi="Trebuchet MS" w:cs="Trebuchet MS"/>
              </w:rPr>
              <w:t>a country's domestic industries from foreign competition. This done, for example by imposing taxes on imports.</w:t>
            </w:r>
          </w:p>
        </w:tc>
      </w:tr>
    </w:tbl>
    <w:p w:rsidR="00AB7884" w:rsidRDefault="00AB7884" w:rsidP="007F44B4">
      <w:pPr>
        <w:pStyle w:val="paralargetext"/>
        <w:numPr>
          <w:ilvl w:val="0"/>
          <w:numId w:val="12"/>
        </w:numPr>
        <w:rPr>
          <w:sz w:val="22"/>
          <w:szCs w:val="22"/>
        </w:rPr>
      </w:pPr>
      <w:r>
        <w:rPr>
          <w:b/>
          <w:bCs/>
          <w:sz w:val="22"/>
          <w:szCs w:val="22"/>
        </w:rPr>
        <w:t>Agreement on Application of Sanitary and Phytosanitary Measures (SPS):</w:t>
      </w:r>
      <w:r>
        <w:rPr>
          <w:sz w:val="22"/>
          <w:szCs w:val="22"/>
        </w:rPr>
        <w:t xml:space="preserve"> This agreement is concerned with all sanitary and phytosanitary measures (regarding food safety and animal and plant health) which may directly or indirectly affect international trade. The WTO claims that the agreement attempts to ensure that a country’s consumers are supplied with food that is safe to eat; but at the same time, it tries to ensure that strict health and safety regulations are not used as an excuse for protectionism. </w:t>
      </w:r>
    </w:p>
    <w:p w:rsidR="00AB7884" w:rsidRDefault="00AB7884">
      <w:pPr>
        <w:spacing w:before="100" w:beforeAutospacing="1" w:after="100" w:afterAutospacing="1"/>
        <w:ind w:left="360"/>
        <w:rPr>
          <w:sz w:val="22"/>
          <w:szCs w:val="22"/>
        </w:rPr>
      </w:pPr>
      <w:r>
        <w:rPr>
          <w:sz w:val="22"/>
          <w:szCs w:val="22"/>
          <w:lang w:val="en-ZA" w:eastAsia="en-ZA"/>
        </w:rPr>
        <w:t xml:space="preserve">Both the TBT and SPS Agreements claim to have dealt with broad public health concerns in the articles which allow member countries the right to </w:t>
      </w:r>
      <w:r>
        <w:rPr>
          <w:sz w:val="22"/>
          <w:szCs w:val="22"/>
        </w:rPr>
        <w:t>determine their own measures to protect the health of their populations, animal or plant life; with the proviso that (a) these measures are not inconsistent with the provisions of the agreements; and (b) that they are based on scientific principles and evidence. There are a number of concerns in this regard:</w:t>
      </w:r>
    </w:p>
    <w:p w:rsidR="00AB7884" w:rsidRDefault="00AB7884" w:rsidP="007F44B4">
      <w:pPr>
        <w:numPr>
          <w:ilvl w:val="0"/>
          <w:numId w:val="13"/>
        </w:numPr>
        <w:spacing w:before="100" w:beforeAutospacing="1" w:after="120"/>
        <w:ind w:left="357" w:hanging="357"/>
        <w:rPr>
          <w:sz w:val="22"/>
          <w:szCs w:val="22"/>
          <w:lang w:val="en-US"/>
        </w:rPr>
      </w:pPr>
      <w:r>
        <w:rPr>
          <w:sz w:val="22"/>
          <w:szCs w:val="22"/>
        </w:rPr>
        <w:t>The</w:t>
      </w:r>
      <w:r>
        <w:rPr>
          <w:sz w:val="22"/>
          <w:szCs w:val="22"/>
          <w:lang w:val="en-US"/>
        </w:rPr>
        <w:t xml:space="preserve"> WTO Agreements do not define the necessary standards and measures to protect public health. In the event of a dispute, who will the WTO use to define these measures and whose or what scientific evidence will they draw on? To date, most WTO dispute settlements are based on ‘least trade restrictive measures’, and </w:t>
      </w:r>
      <w:r>
        <w:rPr>
          <w:sz w:val="22"/>
          <w:szCs w:val="22"/>
          <w:lang w:val="en-US"/>
        </w:rPr>
        <w:lastRenderedPageBreak/>
        <w:t xml:space="preserve">therefore there is a concern that the interests of trade will be prioritised and public health measures will be compromised. </w:t>
      </w:r>
    </w:p>
    <w:p w:rsidR="00AB7884" w:rsidRDefault="00AB7884" w:rsidP="007F44B4">
      <w:pPr>
        <w:numPr>
          <w:ilvl w:val="0"/>
          <w:numId w:val="13"/>
        </w:numPr>
        <w:spacing w:before="100" w:beforeAutospacing="1" w:after="120"/>
        <w:ind w:left="357" w:hanging="357"/>
        <w:rPr>
          <w:sz w:val="22"/>
          <w:szCs w:val="22"/>
          <w:lang w:val="en-US"/>
        </w:rPr>
      </w:pPr>
      <w:r>
        <w:rPr>
          <w:sz w:val="22"/>
          <w:szCs w:val="22"/>
        </w:rPr>
        <w:t xml:space="preserve">Given the </w:t>
      </w:r>
      <w:r>
        <w:rPr>
          <w:sz w:val="22"/>
          <w:szCs w:val="22"/>
          <w:lang w:val="en-US"/>
        </w:rPr>
        <w:t xml:space="preserve">limited technical capacity, inadequate resources and the well-known problem of corruption amongst many regulatory authorities (especially in developing countries), the markets of these countries tend to be flooded with unsafe goods. </w:t>
      </w:r>
    </w:p>
    <w:p w:rsidR="00AB7884" w:rsidRDefault="00AB7884" w:rsidP="007F44B4">
      <w:pPr>
        <w:numPr>
          <w:ilvl w:val="0"/>
          <w:numId w:val="13"/>
        </w:numPr>
        <w:spacing w:before="100" w:beforeAutospacing="1" w:after="100" w:afterAutospacing="1"/>
        <w:rPr>
          <w:sz w:val="24"/>
          <w:szCs w:val="24"/>
          <w:lang w:val="en-ZA" w:eastAsia="en-ZA"/>
        </w:rPr>
      </w:pPr>
      <w:r>
        <w:rPr>
          <w:sz w:val="22"/>
          <w:szCs w:val="22"/>
          <w:lang w:val="en-US"/>
        </w:rPr>
        <w:t xml:space="preserve">The Agreements also fail to protect the public against regulatory capture and the impact that it has on health. Regulatory capture is where one or a group of agencies use their influence or resources to obtain a decision from a regulatory body which benefits their interests, rather than the public as a whole. </w:t>
      </w:r>
    </w:p>
    <w:p w:rsidR="00AB7884" w:rsidRDefault="00AB7884">
      <w:pPr>
        <w:spacing w:before="100" w:beforeAutospacing="1" w:after="100" w:afterAutospacing="1"/>
        <w:rPr>
          <w:sz w:val="22"/>
          <w:szCs w:val="22"/>
        </w:rPr>
      </w:pPr>
      <w:r>
        <w:rPr>
          <w:sz w:val="22"/>
          <w:szCs w:val="22"/>
          <w:lang w:val="en-US"/>
        </w:rPr>
        <w:t xml:space="preserve">By failing to take these realities into account WTO agreements reduce the ability of </w:t>
      </w:r>
      <w:r>
        <w:rPr>
          <w:sz w:val="22"/>
          <w:szCs w:val="22"/>
        </w:rPr>
        <w:t>developing countries’ ability to protect their people’s health and safety.</w:t>
      </w:r>
    </w:p>
    <w:p w:rsidR="00AB7884" w:rsidRDefault="00AB7884">
      <w:pPr>
        <w:spacing w:before="100" w:beforeAutospacing="1" w:after="100" w:afterAutospacing="1"/>
        <w:rPr>
          <w:sz w:val="22"/>
          <w:szCs w:val="22"/>
          <w:lang w:val="en-ZA" w:eastAsia="en-ZA"/>
        </w:rPr>
      </w:pPr>
      <w:r>
        <w:rPr>
          <w:sz w:val="22"/>
          <w:szCs w:val="22"/>
          <w:lang w:val="en-ZA" w:eastAsia="en-ZA"/>
        </w:rPr>
        <w:t xml:space="preserve">From the 1990s, the developing economies of mainly East Asia and Latin America began to attract finance from the developed world – not in the form of loans, but as bonds, shares and foreign direct investment (FDI); directed mainly at the private, rather than the public sector. Taken at face value, this foreign investment seemed to be beneficial, providing these countries with extra foreign exchange, increased government revenue, job creation and the transfer of knowledge and technology. </w:t>
      </w:r>
    </w:p>
    <w:p w:rsidR="00AB7884" w:rsidRDefault="00AB7884">
      <w:pPr>
        <w:rPr>
          <w:sz w:val="22"/>
          <w:szCs w:val="22"/>
          <w:lang w:val="en-ZA" w:eastAsia="en-ZA"/>
        </w:rPr>
      </w:pPr>
      <w:r>
        <w:rPr>
          <w:sz w:val="22"/>
          <w:szCs w:val="22"/>
          <w:lang w:val="en-ZA" w:eastAsia="en-ZA"/>
        </w:rPr>
        <w:t>However, critics argue that these economic benefits rarely occur because investing companies use some or all of the following factors:</w:t>
      </w:r>
    </w:p>
    <w:p w:rsidR="00AB7884" w:rsidRDefault="00AB7884" w:rsidP="007F44B4">
      <w:pPr>
        <w:pStyle w:val="ListParagraph"/>
        <w:numPr>
          <w:ilvl w:val="0"/>
          <w:numId w:val="11"/>
        </w:numPr>
        <w:rPr>
          <w:sz w:val="22"/>
          <w:szCs w:val="22"/>
          <w:lang w:val="en-ZA" w:eastAsia="en-ZA"/>
        </w:rPr>
      </w:pPr>
      <w:r>
        <w:rPr>
          <w:sz w:val="22"/>
          <w:szCs w:val="22"/>
          <w:lang w:val="en-ZA" w:eastAsia="en-ZA"/>
        </w:rPr>
        <w:t>they generally employ their own workers rather than create new jobs within the developing country</w:t>
      </w:r>
    </w:p>
    <w:p w:rsidR="00AB7884" w:rsidRDefault="00AB7884" w:rsidP="007F44B4">
      <w:pPr>
        <w:pStyle w:val="ListParagraph"/>
        <w:numPr>
          <w:ilvl w:val="0"/>
          <w:numId w:val="11"/>
        </w:numPr>
        <w:spacing w:before="100" w:beforeAutospacing="1" w:after="100" w:afterAutospacing="1"/>
        <w:rPr>
          <w:sz w:val="22"/>
          <w:szCs w:val="22"/>
          <w:lang w:val="en-ZA" w:eastAsia="en-ZA"/>
        </w:rPr>
      </w:pPr>
      <w:r>
        <w:rPr>
          <w:sz w:val="22"/>
          <w:szCs w:val="22"/>
          <w:lang w:val="en-ZA" w:eastAsia="en-ZA"/>
        </w:rPr>
        <w:t>they use more capital intensive methods of production (computers and technology) and therefore employ fewer workers</w:t>
      </w:r>
    </w:p>
    <w:p w:rsidR="00AB7884" w:rsidRDefault="00AB7884" w:rsidP="007F44B4">
      <w:pPr>
        <w:pStyle w:val="ListParagraph"/>
        <w:numPr>
          <w:ilvl w:val="0"/>
          <w:numId w:val="11"/>
        </w:numPr>
        <w:spacing w:before="100" w:beforeAutospacing="1" w:after="100" w:afterAutospacing="1"/>
        <w:rPr>
          <w:sz w:val="22"/>
          <w:szCs w:val="22"/>
          <w:lang w:val="en-ZA" w:eastAsia="en-ZA"/>
        </w:rPr>
      </w:pPr>
      <w:r>
        <w:rPr>
          <w:sz w:val="22"/>
          <w:szCs w:val="22"/>
          <w:lang w:val="en-ZA" w:eastAsia="en-ZA"/>
        </w:rPr>
        <w:t xml:space="preserve">they use their own technology and equipment rather than transfer this to the host country. </w:t>
      </w:r>
    </w:p>
    <w:p w:rsidR="00AB7884" w:rsidRDefault="00AB7884">
      <w:pPr>
        <w:spacing w:before="120" w:after="120"/>
        <w:rPr>
          <w:rFonts w:ascii="Trebuchet MS" w:hAnsi="Trebuchet MS" w:cs="Trebuchet MS"/>
          <w:sz w:val="22"/>
          <w:szCs w:val="22"/>
          <w:lang w:val="en-ZA" w:eastAsia="en-ZA"/>
        </w:rPr>
      </w:pPr>
      <w:r>
        <w:rPr>
          <w:rFonts w:ascii="Trebuchet MS" w:hAnsi="Trebuchet MS" w:cs="Trebuchet MS"/>
          <w:b/>
          <w:bCs/>
          <w:sz w:val="22"/>
          <w:szCs w:val="22"/>
        </w:rPr>
        <w:t>The ‘Battle of Seattle’ (1999)</w:t>
      </w:r>
    </w:p>
    <w:p w:rsidR="00AB7884" w:rsidRDefault="00AB7884">
      <w:pPr>
        <w:spacing w:after="100" w:afterAutospacing="1"/>
        <w:rPr>
          <w:sz w:val="22"/>
          <w:szCs w:val="22"/>
          <w:lang w:val="en-ZA" w:eastAsia="en-ZA"/>
        </w:rPr>
      </w:pPr>
      <w:r>
        <w:rPr>
          <w:sz w:val="22"/>
          <w:szCs w:val="22"/>
          <w:lang w:val="en-ZA" w:eastAsia="en-ZA"/>
        </w:rPr>
        <w:t xml:space="preserve">The authoritative voice of the WTO has not gone unchallenged, and the process of globalisation itself has also enabled a growing transnational anti-globalisation civil society movement to emerge. At the end of 1999, the WTO convened a Ministerial Conference in Seattle, USA, to discuss changes to the rules of world trade. The talks collapsed as a rift developed between the developed and developing countries, and culminated in African countries walking out. This began a historic chapter in WTO multilateral trade negotiations which involved questions about the legitimacy of the trading system itself. </w:t>
      </w:r>
    </w:p>
    <w:p w:rsidR="00AB7884" w:rsidRDefault="00AB7884">
      <w:pPr>
        <w:spacing w:after="100" w:afterAutospacing="1"/>
        <w:ind w:left="720"/>
        <w:rPr>
          <w:rFonts w:ascii="Trebuchet MS" w:hAnsi="Trebuchet MS" w:cs="Trebuchet MS"/>
          <w:sz w:val="22"/>
          <w:szCs w:val="22"/>
          <w:lang w:val="en-ZA" w:eastAsia="en-ZA"/>
        </w:rPr>
      </w:pPr>
      <w:r>
        <w:rPr>
          <w:rFonts w:ascii="Trebuchet MS" w:hAnsi="Trebuchet MS" w:cs="Trebuchet MS"/>
          <w:i/>
          <w:iCs/>
          <w:sz w:val="22"/>
          <w:szCs w:val="22"/>
          <w:lang w:val="en-ZA" w:eastAsia="en-ZA"/>
        </w:rPr>
        <w:t xml:space="preserve">“The collapse of the Seattle ministerial conference exposed significant differences among member countries concerning what should be on the WTO agenda as well as shortcomings in the manner in which the WTO conducts its business and interacts with other international and nongovernmental organisations (NGOs)” </w:t>
      </w:r>
      <w:r>
        <w:rPr>
          <w:rFonts w:ascii="Trebuchet MS" w:hAnsi="Trebuchet MS" w:cs="Trebuchet MS"/>
          <w:sz w:val="22"/>
          <w:szCs w:val="22"/>
          <w:lang w:val="en-ZA" w:eastAsia="en-ZA"/>
        </w:rPr>
        <w:t xml:space="preserve">(Schott, 2000).  </w:t>
      </w:r>
    </w:p>
    <w:p w:rsidR="00AB7884" w:rsidRDefault="00AB7884">
      <w:pPr>
        <w:spacing w:after="100" w:afterAutospacing="1"/>
        <w:rPr>
          <w:sz w:val="22"/>
          <w:szCs w:val="22"/>
          <w:lang w:val="en-ZA" w:eastAsia="en-ZA"/>
        </w:rPr>
      </w:pPr>
      <w:r>
        <w:rPr>
          <w:sz w:val="22"/>
          <w:szCs w:val="22"/>
          <w:lang w:val="en-ZA" w:eastAsia="en-ZA"/>
        </w:rPr>
        <w:t xml:space="preserve">Large civil society protests also highlighted how global trade agreements were biased in favour of developed countries. Protesting directly against TRIPS this growing civil society movement argued that the patenting system was abusive as it enabled pharmaceutical corporations to jeopardise equitable access to life-saving medicines, </w:t>
      </w:r>
      <w:r>
        <w:rPr>
          <w:sz w:val="22"/>
          <w:szCs w:val="22"/>
          <w:lang w:val="en-ZA" w:eastAsia="en-ZA"/>
        </w:rPr>
        <w:lastRenderedPageBreak/>
        <w:t xml:space="preserve">such as antiretrovirals; and that it skewed research and development in favour of more lucrative markets, rather than meeting the health needs of the poor. Overall, it was argued, TRIPS reinforced disparities by denying developing countries access to knowledge, health care, seeds for crops, and technology. </w:t>
      </w:r>
    </w:p>
    <w:p w:rsidR="00AB7884" w:rsidRDefault="00AB7884">
      <w:pPr>
        <w:spacing w:before="120" w:after="120"/>
        <w:rPr>
          <w:b/>
          <w:bCs/>
          <w:sz w:val="22"/>
          <w:szCs w:val="22"/>
          <w:lang w:val="en-ZA" w:eastAsia="en-ZA"/>
        </w:rPr>
      </w:pPr>
      <w:r>
        <w:rPr>
          <w:b/>
          <w:bCs/>
          <w:sz w:val="22"/>
          <w:szCs w:val="22"/>
          <w:lang w:val="en-ZA" w:eastAsia="en-ZA"/>
        </w:rPr>
        <w:t>Doha Development Round (Ten years to conclude)</w:t>
      </w:r>
    </w:p>
    <w:p w:rsidR="00AB7884" w:rsidRDefault="00AB7884">
      <w:pPr>
        <w:rPr>
          <w:sz w:val="22"/>
          <w:szCs w:val="22"/>
          <w:lang w:val="en-ZA" w:eastAsia="en-ZA"/>
        </w:rPr>
      </w:pPr>
      <w:r>
        <w:rPr>
          <w:sz w:val="22"/>
          <w:szCs w:val="22"/>
          <w:lang w:val="en-ZA" w:eastAsia="en-ZA"/>
        </w:rPr>
        <w:t>November 2001 saw the WTO meeting in Doha, Qatar to negotiate a new round of talks aimed at lowering trade barriers in the agricultural and manufacturing sectors; and also to negotiate further deals around GATS and TRIPS. However these on-going talks were stalled on a number of occasions because of major disagreements between developed and developing nations on issues related to agriculture and non-agriculture market access and services.</w:t>
      </w:r>
    </w:p>
    <w:p w:rsidR="00AB7884" w:rsidRDefault="00AB7884">
      <w:pPr>
        <w:rPr>
          <w:sz w:val="22"/>
          <w:szCs w:val="22"/>
          <w:lang w:val="en-ZA" w:eastAsia="en-ZA"/>
        </w:rPr>
      </w:pPr>
    </w:p>
    <w:p w:rsidR="00AB7884" w:rsidRDefault="00AB7884">
      <w:pPr>
        <w:rPr>
          <w:sz w:val="22"/>
          <w:szCs w:val="22"/>
          <w:lang w:val="en-ZA" w:eastAsia="en-ZA"/>
        </w:rPr>
      </w:pPr>
      <w:r>
        <w:rPr>
          <w:sz w:val="22"/>
          <w:szCs w:val="22"/>
          <w:lang w:val="en-ZA" w:eastAsia="en-ZA"/>
        </w:rPr>
        <w:t xml:space="preserve">Many of the countries of the North belonging to the Organisation of Economic Cooperation and Development (OECD) provide their farmers with agricultural subsidies, with which farmers in the South cannot compete. Figure 2.1.4 is an example of how much Japanese, European Union (EU) and US farmers received in state subsidies. Developing nations argued that these subsidies distort ‘free trade’ and operate as trade barriers. </w:t>
      </w:r>
    </w:p>
    <w:p w:rsidR="00AB7884" w:rsidRDefault="00AB7884">
      <w:pPr>
        <w:rPr>
          <w:b/>
          <w:bCs/>
          <w:sz w:val="22"/>
          <w:szCs w:val="22"/>
        </w:rPr>
      </w:pPr>
    </w:p>
    <w:p w:rsidR="00AB7884" w:rsidRDefault="00AB7884">
      <w:pPr>
        <w:spacing w:before="120" w:after="120"/>
        <w:rPr>
          <w:b/>
          <w:bCs/>
          <w:sz w:val="22"/>
          <w:szCs w:val="22"/>
        </w:rPr>
      </w:pPr>
      <w:r>
        <w:rPr>
          <w:rFonts w:ascii="Trebuchet MS" w:hAnsi="Trebuchet MS" w:cs="Trebuchet MS"/>
          <w:b/>
          <w:bCs/>
          <w:sz w:val="22"/>
          <w:szCs w:val="22"/>
        </w:rPr>
        <w:t>Figure 2.1.4 Northern agricultural subsidies: Japan, the US and the EU</w:t>
      </w:r>
    </w:p>
    <w:p w:rsidR="00AB7884" w:rsidRDefault="00C42A6B">
      <w:pPr>
        <w:pStyle w:val="ListParagraph"/>
        <w:autoSpaceDE w:val="0"/>
        <w:autoSpaceDN w:val="0"/>
        <w:adjustRightInd w:val="0"/>
        <w:rPr>
          <w:rFonts w:ascii="Times New Roman" w:hAnsi="Times New Roman" w:cs="Times New Roman"/>
          <w:noProof/>
          <w:lang w:val="nb-NO" w:eastAsia="nb-NO"/>
        </w:rPr>
      </w:pPr>
      <w:r w:rsidRPr="00717A10">
        <w:rPr>
          <w:rFonts w:ascii="Times New Roman" w:hAnsi="Times New Roman" w:cs="Times New Roman"/>
          <w:noProof/>
          <w:lang w:val="nb-NO" w:eastAsia="nb-NO"/>
        </w:rPr>
        <w:pict>
          <v:shape id="_x0000_i1034" type="#_x0000_t75" style="width:173.25pt;height:219pt;visibility:visible">
            <v:imagedata r:id="rId16" o:title="" cropright="25113f"/>
          </v:shape>
        </w:pict>
      </w:r>
    </w:p>
    <w:p w:rsidR="00AB7884" w:rsidRDefault="00AB7884">
      <w:pPr>
        <w:pStyle w:val="ListParagraph"/>
        <w:autoSpaceDE w:val="0"/>
        <w:autoSpaceDN w:val="0"/>
        <w:adjustRightInd w:val="0"/>
        <w:rPr>
          <w:rFonts w:ascii="Times New Roman" w:hAnsi="Times New Roman" w:cs="Times New Roman"/>
          <w:b/>
          <w:bCs/>
          <w:noProof/>
          <w:lang w:val="nb-NO" w:eastAsia="nb-NO"/>
        </w:rPr>
      </w:pPr>
    </w:p>
    <w:p w:rsidR="00AB7884" w:rsidRDefault="00AB7884">
      <w:pPr>
        <w:pStyle w:val="ListParagraph"/>
        <w:autoSpaceDE w:val="0"/>
        <w:autoSpaceDN w:val="0"/>
        <w:adjustRightInd w:val="0"/>
        <w:spacing w:before="120" w:after="120"/>
        <w:rPr>
          <w:noProof/>
          <w:lang w:val="nb-NO" w:eastAsia="nb-NO"/>
        </w:rPr>
      </w:pPr>
      <w:r>
        <w:rPr>
          <w:b/>
          <w:bCs/>
          <w:i/>
          <w:iCs/>
          <w:noProof/>
          <w:lang w:val="nb-NO" w:eastAsia="nb-NO"/>
        </w:rPr>
        <w:t>Source</w:t>
      </w:r>
      <w:r>
        <w:rPr>
          <w:i/>
          <w:iCs/>
          <w:noProof/>
          <w:lang w:val="nb-NO" w:eastAsia="nb-NO"/>
        </w:rPr>
        <w:t>:</w:t>
      </w:r>
      <w:r>
        <w:rPr>
          <w:noProof/>
          <w:lang w:val="nb-NO" w:eastAsia="nb-NO"/>
        </w:rPr>
        <w:t xml:space="preserve"> UNDP, HDR, 2005. </w:t>
      </w:r>
    </w:p>
    <w:p w:rsidR="00AB7884" w:rsidRDefault="00AB7884">
      <w:pPr>
        <w:pStyle w:val="ListParagraph"/>
        <w:autoSpaceDE w:val="0"/>
        <w:autoSpaceDN w:val="0"/>
        <w:adjustRightInd w:val="0"/>
        <w:rPr>
          <w:sz w:val="22"/>
          <w:szCs w:val="22"/>
        </w:rPr>
      </w:pPr>
    </w:p>
    <w:p w:rsidR="00AB7884" w:rsidRDefault="00AB7884">
      <w:pPr>
        <w:autoSpaceDE w:val="0"/>
        <w:autoSpaceDN w:val="0"/>
        <w:adjustRightInd w:val="0"/>
        <w:rPr>
          <w:sz w:val="22"/>
          <w:szCs w:val="22"/>
          <w:lang w:val="en-ZA" w:eastAsia="en-ZA"/>
        </w:rPr>
      </w:pPr>
      <w:r>
        <w:rPr>
          <w:sz w:val="22"/>
          <w:szCs w:val="22"/>
        </w:rPr>
        <w:t>Northern countries subsidise their agriculture and export food to impoverished countries, flooding their markets. For example, i</w:t>
      </w:r>
      <w:r>
        <w:rPr>
          <w:sz w:val="22"/>
          <w:szCs w:val="22"/>
          <w:lang w:val="en-ZA" w:eastAsia="en-ZA"/>
        </w:rPr>
        <w:t xml:space="preserve">n Japan, dairy farmers receive a state subsidy of over US$2 500 per cow; while in the EU dairy farmers receive almost </w:t>
      </w:r>
      <w:r>
        <w:rPr>
          <w:sz w:val="22"/>
          <w:szCs w:val="22"/>
          <w:lang w:val="en-ZA" w:eastAsia="en-ZA"/>
        </w:rPr>
        <w:br/>
        <w:t xml:space="preserve">US$1 000 per cow. These subsidies are more than the average per capita annual income in Sub-Saharan Africa, more than the per capita cost of essential health interventions and more than the per capita annual health expenditure in 63 low income countries. </w:t>
      </w:r>
    </w:p>
    <w:p w:rsidR="00AB7884" w:rsidRDefault="00AB7884">
      <w:pPr>
        <w:autoSpaceDE w:val="0"/>
        <w:autoSpaceDN w:val="0"/>
        <w:adjustRightInd w:val="0"/>
        <w:spacing w:before="240" w:after="120"/>
        <w:rPr>
          <w:rStyle w:val="SubtleEmphasis"/>
        </w:rPr>
      </w:pPr>
      <w:r>
        <w:rPr>
          <w:b/>
          <w:bCs/>
          <w:sz w:val="22"/>
          <w:szCs w:val="22"/>
        </w:rPr>
        <w:br w:type="page"/>
      </w:r>
      <w:r>
        <w:rPr>
          <w:rFonts w:ascii="Trebuchet MS" w:hAnsi="Trebuchet MS" w:cs="Trebuchet MS"/>
          <w:b/>
          <w:bCs/>
          <w:sz w:val="22"/>
          <w:szCs w:val="22"/>
        </w:rPr>
        <w:lastRenderedPageBreak/>
        <w:t>Figure 2.1.5 Why should a Japanese cow enjoy a higher income than an African citizen?</w:t>
      </w:r>
      <w:r>
        <w:rPr>
          <w:rFonts w:ascii="Trebuchet MS" w:hAnsi="Trebuchet MS" w:cs="Trebuchet MS"/>
          <w:b/>
          <w:bCs/>
          <w:sz w:val="22"/>
          <w:szCs w:val="22"/>
        </w:rPr>
        <w:br/>
      </w:r>
      <w:r>
        <w:rPr>
          <w:b/>
          <w:bCs/>
          <w:sz w:val="22"/>
          <w:szCs w:val="22"/>
        </w:rPr>
        <w:br/>
      </w:r>
      <w:r w:rsidR="00C42A6B" w:rsidRPr="00717A10">
        <w:rPr>
          <w:rStyle w:val="SubtleEmphasis"/>
          <w:i w:val="0"/>
          <w:iCs w:val="0"/>
        </w:rPr>
        <w:pict>
          <v:shape id="_x0000_i1035" type="#_x0000_t75" style="width:324pt;height:243pt;visibility:visible">
            <v:imagedata r:id="rId17" o:title=""/>
          </v:shape>
        </w:pict>
      </w:r>
    </w:p>
    <w:p w:rsidR="00AB7884" w:rsidRDefault="00AB7884">
      <w:pPr>
        <w:autoSpaceDE w:val="0"/>
        <w:autoSpaceDN w:val="0"/>
        <w:adjustRightInd w:val="0"/>
        <w:spacing w:before="240" w:after="120"/>
        <w:rPr>
          <w:rFonts w:ascii="Trebuchet MS" w:hAnsi="Trebuchet MS" w:cs="Trebuchet MS"/>
          <w:b/>
          <w:bCs/>
          <w:i/>
          <w:iCs/>
          <w:noProof/>
          <w:lang w:val="nb-NO" w:eastAsia="nb-NO"/>
        </w:rPr>
      </w:pPr>
    </w:p>
    <w:p w:rsidR="00AB7884" w:rsidRDefault="00AB7884">
      <w:pPr>
        <w:spacing w:before="240"/>
        <w:rPr>
          <w:sz w:val="22"/>
          <w:szCs w:val="22"/>
          <w:lang w:val="en-ZA" w:eastAsia="en-ZA"/>
        </w:rPr>
      </w:pPr>
      <w:r>
        <w:rPr>
          <w:sz w:val="22"/>
          <w:szCs w:val="22"/>
          <w:lang w:val="en-ZA" w:eastAsia="en-ZA"/>
        </w:rPr>
        <w:t xml:space="preserve">The WTO’s fifth Ministerial Conference in Cancun, Mexico in 2003, opened with Kofi Annan, (the then-Secretary General of the UN) warning of the importance and urgency of tackling global poverty: </w:t>
      </w:r>
      <w:r>
        <w:rPr>
          <w:sz w:val="22"/>
          <w:szCs w:val="22"/>
          <w:lang w:val="en-ZA" w:eastAsia="en-ZA"/>
        </w:rPr>
        <w:br/>
      </w:r>
    </w:p>
    <w:p w:rsidR="00AB7884" w:rsidRDefault="00AB7884">
      <w:pPr>
        <w:ind w:left="720"/>
        <w:rPr>
          <w:rFonts w:ascii="Trebuchet MS" w:hAnsi="Trebuchet MS" w:cs="Trebuchet MS"/>
          <w:sz w:val="22"/>
          <w:szCs w:val="22"/>
          <w:lang w:val="en-ZA" w:eastAsia="en-ZA"/>
        </w:rPr>
      </w:pPr>
      <w:r>
        <w:rPr>
          <w:rFonts w:ascii="Trebuchet MS" w:hAnsi="Trebuchet MS" w:cs="Trebuchet MS"/>
          <w:sz w:val="22"/>
          <w:szCs w:val="22"/>
          <w:lang w:val="en-ZA" w:eastAsia="en-ZA"/>
        </w:rPr>
        <w:t>“</w:t>
      </w:r>
      <w:r>
        <w:rPr>
          <w:rFonts w:ascii="Trebuchet MS" w:hAnsi="Trebuchet MS" w:cs="Trebuchet MS"/>
          <w:i/>
          <w:iCs/>
          <w:sz w:val="22"/>
          <w:szCs w:val="22"/>
          <w:lang w:val="en-ZA" w:eastAsia="en-ZA"/>
        </w:rPr>
        <w:t>We are told that trade can provide a ladder to a better life and deliver us from poverty and despair... Sadly, the reality of the international trading system today does not match the rhetoric</w:t>
      </w:r>
      <w:r>
        <w:rPr>
          <w:rFonts w:ascii="Trebuchet MS" w:hAnsi="Trebuchet MS" w:cs="Trebuchet MS"/>
          <w:sz w:val="22"/>
          <w:szCs w:val="22"/>
          <w:lang w:val="en-ZA" w:eastAsia="en-ZA"/>
        </w:rPr>
        <w:t xml:space="preserve">” (Kofi Annan, </w:t>
      </w:r>
      <w:r>
        <w:rPr>
          <w:rFonts w:ascii="Trebuchet MS" w:hAnsi="Trebuchet MS" w:cs="Trebuchet MS"/>
          <w:sz w:val="22"/>
          <w:szCs w:val="22"/>
          <w:lang w:eastAsia="en-ZA"/>
        </w:rPr>
        <w:t xml:space="preserve">quoted </w:t>
      </w:r>
      <w:r>
        <w:rPr>
          <w:rFonts w:ascii="Trebuchet MS" w:hAnsi="Trebuchet MS" w:cs="Trebuchet MS"/>
          <w:sz w:val="22"/>
          <w:szCs w:val="22"/>
        </w:rPr>
        <w:t>in Shah, 2003</w:t>
      </w:r>
      <w:r>
        <w:rPr>
          <w:rFonts w:ascii="Trebuchet MS" w:hAnsi="Trebuchet MS" w:cs="Trebuchet MS"/>
          <w:sz w:val="22"/>
          <w:szCs w:val="22"/>
          <w:lang w:val="en-ZA" w:eastAsia="en-ZA"/>
        </w:rPr>
        <w:t>).</w:t>
      </w:r>
    </w:p>
    <w:p w:rsidR="00AB7884" w:rsidRDefault="00AB7884">
      <w:pPr>
        <w:spacing w:before="100" w:beforeAutospacing="1" w:after="100" w:afterAutospacing="1"/>
        <w:rPr>
          <w:sz w:val="22"/>
          <w:szCs w:val="22"/>
          <w:lang w:val="en-ZA" w:eastAsia="en-ZA"/>
        </w:rPr>
      </w:pPr>
      <w:r>
        <w:rPr>
          <w:sz w:val="22"/>
          <w:szCs w:val="22"/>
          <w:lang w:val="en-ZA" w:eastAsia="en-ZA"/>
        </w:rPr>
        <w:t>Once again the WTO talks collapsed because of a deadlock over agricultural issues. Developing countries again called for developed countries to reduce their agricultural subsidies of domestic farmers and questioned whether free trade (which favours the most powerful nations) was in fact fair trade (which would put producers in developing nations on a more level playing field). For the first time, developing countries made a successful and united stand against the richer and more powerful countries, to represent their concerns.</w:t>
      </w:r>
    </w:p>
    <w:p w:rsidR="00AB7884" w:rsidRDefault="00AB7884">
      <w:pPr>
        <w:spacing w:before="100" w:beforeAutospacing="1" w:after="100" w:afterAutospacing="1"/>
        <w:rPr>
          <w:sz w:val="22"/>
          <w:szCs w:val="22"/>
          <w:lang w:eastAsia="en-ZA"/>
        </w:rPr>
      </w:pPr>
      <w:r>
        <w:rPr>
          <w:sz w:val="22"/>
          <w:szCs w:val="22"/>
          <w:lang w:eastAsia="en-ZA"/>
        </w:rPr>
        <w:t>Policy analyst</w:t>
      </w:r>
      <w:r>
        <w:rPr>
          <w:i/>
          <w:iCs/>
          <w:sz w:val="22"/>
          <w:szCs w:val="22"/>
          <w:lang w:eastAsia="en-ZA"/>
        </w:rPr>
        <w:t xml:space="preserve">, </w:t>
      </w:r>
      <w:r>
        <w:rPr>
          <w:sz w:val="22"/>
          <w:szCs w:val="22"/>
          <w:lang w:eastAsia="en-ZA"/>
        </w:rPr>
        <w:t xml:space="preserve">Aileen Kwa (quoted </w:t>
      </w:r>
      <w:r>
        <w:rPr>
          <w:sz w:val="22"/>
          <w:szCs w:val="22"/>
        </w:rPr>
        <w:t xml:space="preserve">in Shah, 2003) </w:t>
      </w:r>
      <w:r>
        <w:rPr>
          <w:sz w:val="22"/>
          <w:szCs w:val="22"/>
          <w:lang w:eastAsia="en-ZA"/>
        </w:rPr>
        <w:t xml:space="preserve">puts it starkly: </w:t>
      </w:r>
    </w:p>
    <w:p w:rsidR="00AB7884" w:rsidRDefault="00AB7884">
      <w:pPr>
        <w:pStyle w:val="BodyText2"/>
        <w:spacing w:after="0"/>
        <w:ind w:left="720"/>
        <w:rPr>
          <w:rFonts w:ascii="Trebuchet MS" w:hAnsi="Trebuchet MS" w:cs="Trebuchet MS"/>
          <w:i/>
          <w:iCs/>
          <w:lang w:eastAsia="en-ZA"/>
        </w:rPr>
      </w:pPr>
      <w:r>
        <w:rPr>
          <w:rFonts w:ascii="Trebuchet MS" w:hAnsi="Trebuchet MS" w:cs="Trebuchet MS"/>
          <w:i/>
          <w:iCs/>
          <w:lang w:eastAsia="en-ZA"/>
        </w:rPr>
        <w:t xml:space="preserve">“The WTO perpetrates a subtle and pervasive form of re-colonisation and warfare. It calls on members to relinquish their sovereign rights and policy freedom (by constraining their ability to put in place domestic regulations) in order to allow pillage by transnational corporations. The saturation of Northern markets makes it imperative that transnational corporations get access to markets in the South. The ever-expanding ambit of WTO rules are designed to do just that; pry open developing country markets, not only </w:t>
      </w:r>
      <w:r>
        <w:rPr>
          <w:rFonts w:ascii="Trebuchet MS" w:hAnsi="Trebuchet MS" w:cs="Trebuchet MS"/>
          <w:i/>
          <w:iCs/>
          <w:lang w:eastAsia="en-ZA"/>
        </w:rPr>
        <w:lastRenderedPageBreak/>
        <w:t>through the drastic reduction of tariffs, but by ‘beyond the border’ measures. The result is the further subjugation of economies and peoples in the developing world.”</w:t>
      </w:r>
    </w:p>
    <w:p w:rsidR="00AB7884" w:rsidRDefault="00AB7884">
      <w:pPr>
        <w:rPr>
          <w:rFonts w:ascii="Trebuchet MS" w:hAnsi="Trebuchet MS" w:cs="Trebuchet MS"/>
          <w:i/>
          <w:iCs/>
          <w:sz w:val="22"/>
          <w:szCs w:val="22"/>
          <w:lang w:eastAsia="en-ZA"/>
        </w:rPr>
      </w:pPr>
    </w:p>
    <w:p w:rsidR="00AB7884" w:rsidRDefault="00AB7884">
      <w:pPr>
        <w:rPr>
          <w:sz w:val="22"/>
          <w:szCs w:val="22"/>
          <w:lang w:eastAsia="en-ZA"/>
        </w:rPr>
      </w:pPr>
      <w:r>
        <w:rPr>
          <w:sz w:val="22"/>
          <w:szCs w:val="22"/>
          <w:lang w:val="en-ZA" w:eastAsia="en-ZA"/>
        </w:rPr>
        <w:t xml:space="preserve">Subsequent WTO meetings to try to conclude the Doha Development Round took place in Hong Kong in 2005; Geneva, Switzerland in 2004, 2006 and 2008; Paris, France in 2005; and Potsdam, Germany in 2007. </w:t>
      </w:r>
      <w:r>
        <w:rPr>
          <w:sz w:val="22"/>
          <w:szCs w:val="22"/>
          <w:lang w:eastAsia="en-ZA"/>
        </w:rPr>
        <w:t xml:space="preserve">By 2011, the WTO was still trying to reach a breakthrough in the negotiations. British Prime Minister, David Cameron, German Chancellor, Angela Merkel and former WTO director-general, Peter Sutherland, expressed their frustration with the Doha Development Round, saying that they had taken 10 years so far and called for these talks to conclude by the end of 2011. </w:t>
      </w:r>
    </w:p>
    <w:p w:rsidR="00AB7884" w:rsidRDefault="00AB7884">
      <w:pPr>
        <w:tabs>
          <w:tab w:val="left" w:pos="540"/>
        </w:tabs>
        <w:rPr>
          <w:rFonts w:ascii="Times New Roman" w:hAnsi="Times New Roman" w:cs="Times New Roman"/>
          <w:b/>
          <w:bCs/>
          <w:i/>
          <w:iCs/>
          <w:sz w:val="22"/>
          <w:szCs w:val="22"/>
        </w:rPr>
      </w:pPr>
    </w:p>
    <w:p w:rsidR="00AB7884" w:rsidRDefault="00AB7884">
      <w:pPr>
        <w:tabs>
          <w:tab w:val="left" w:pos="540"/>
        </w:tabs>
        <w:spacing w:before="120" w:after="120"/>
        <w:rPr>
          <w:rFonts w:ascii="Trebuchet MS" w:hAnsi="Trebuchet MS" w:cs="Trebuchet MS"/>
          <w:sz w:val="22"/>
          <w:szCs w:val="22"/>
        </w:rPr>
      </w:pPr>
      <w:r>
        <w:rPr>
          <w:rFonts w:ascii="Trebuchet MS" w:hAnsi="Trebuchet MS" w:cs="Trebuchet MS"/>
          <w:b/>
          <w:bCs/>
          <w:sz w:val="22"/>
          <w:szCs w:val="22"/>
        </w:rPr>
        <w:t xml:space="preserve">Global concern about climate change </w:t>
      </w:r>
    </w:p>
    <w:p w:rsidR="00AB7884" w:rsidRDefault="00AB7884">
      <w:pPr>
        <w:tabs>
          <w:tab w:val="left" w:pos="540"/>
        </w:tabs>
        <w:rPr>
          <w:sz w:val="22"/>
          <w:szCs w:val="22"/>
        </w:rPr>
      </w:pPr>
      <w:r>
        <w:rPr>
          <w:sz w:val="22"/>
          <w:szCs w:val="22"/>
        </w:rPr>
        <w:t>Concern about climate change dates back to 1904 when Swedish scientist, Svante Arrhenius investigated the effect that doubling atmospheric carbon dioxide would have on global climate. Since that time, climate change has been the subject of much polarized debate amongst governments, consumers, environmental groups and industry all over the world. Most scientists blame climate change on industrialisation dating back to the 19</w:t>
      </w:r>
      <w:r>
        <w:rPr>
          <w:sz w:val="22"/>
          <w:szCs w:val="22"/>
          <w:vertAlign w:val="superscript"/>
        </w:rPr>
        <w:t>th</w:t>
      </w:r>
      <w:r>
        <w:rPr>
          <w:sz w:val="22"/>
          <w:szCs w:val="22"/>
        </w:rPr>
        <w:t xml:space="preserve"> century when richer countries of the North began pumping out ever-increasing volumes of heat-trapping greenhouse gases like carbon dioxide. </w:t>
      </w:r>
    </w:p>
    <w:p w:rsidR="00AB7884" w:rsidRDefault="00AB7884">
      <w:pPr>
        <w:tabs>
          <w:tab w:val="left" w:pos="540"/>
        </w:tabs>
        <w:rPr>
          <w:sz w:val="22"/>
          <w:szCs w:val="22"/>
        </w:rPr>
      </w:pPr>
    </w:p>
    <w:p w:rsidR="00AB7884" w:rsidRDefault="00AB7884">
      <w:pPr>
        <w:tabs>
          <w:tab w:val="left" w:pos="540"/>
        </w:tabs>
        <w:rPr>
          <w:sz w:val="22"/>
          <w:szCs w:val="22"/>
        </w:rPr>
      </w:pPr>
      <w:r>
        <w:rPr>
          <w:sz w:val="22"/>
          <w:szCs w:val="22"/>
        </w:rPr>
        <w:t xml:space="preserve">In 1997, more than 160 nations met in Kyoto, Japan to negotiate binding limitations on greenhouses gases. The outcome of the meeting was the development of the Kyoto Protocol in which developed nations agreed to limit their greenhouse gas emissions. However, in 2001, American President Bush withdrew from the Kyoto Protocol negotiations, arguing that it would be bad for the US economy and would be ineffective because major developing nations like India and China were not covered by the Protocol. </w:t>
      </w:r>
    </w:p>
    <w:p w:rsidR="00AB7884" w:rsidRDefault="00AB7884">
      <w:pPr>
        <w:tabs>
          <w:tab w:val="left" w:pos="540"/>
        </w:tabs>
        <w:rPr>
          <w:sz w:val="22"/>
          <w:szCs w:val="22"/>
        </w:rPr>
      </w:pPr>
    </w:p>
    <w:p w:rsidR="00AB7884" w:rsidRDefault="00AB7884">
      <w:pPr>
        <w:pStyle w:val="NormalWeb"/>
        <w:spacing w:before="0" w:beforeAutospacing="0"/>
        <w:rPr>
          <w:sz w:val="22"/>
          <w:szCs w:val="22"/>
        </w:rPr>
      </w:pPr>
      <w:r>
        <w:rPr>
          <w:sz w:val="22"/>
          <w:szCs w:val="22"/>
        </w:rPr>
        <w:t>In 2005, 141 countries ratified the Kyoto Protocol, committing to cut their combined greenhouse gas emissions to 5% below 1990 levels by 2008-2012. This included India and China as well as every major industrialised country, except the US, Australia and Monaco (</w:t>
      </w:r>
      <w:r>
        <w:rPr>
          <w:i/>
          <w:iCs/>
          <w:sz w:val="22"/>
          <w:szCs w:val="22"/>
        </w:rPr>
        <w:t>Now</w:t>
      </w:r>
      <w:r>
        <w:rPr>
          <w:sz w:val="22"/>
          <w:szCs w:val="22"/>
        </w:rPr>
        <w:t>, 2005). However, many countries have not fulfilled their obligations and in fact global emissions have increased since the Kyoto Protocol was signed. In the period 1990 to 1999 global emissions increased on average by 1% per year, whereas in the period 2000 to 2010 the increase was 3% per year. Thus, this agreement has not worked as intended. After the climate negotiations in Durban in December 2011, the future of the Kyoto Protocol was very uncertain and from 2012, Japan, Canada and Russia have withdrawn from the agreement. We will look at greenhouse gas emissions and global climate change in more detail in Unit 3.</w:t>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2"/>
        <w:gridCol w:w="6758"/>
      </w:tblGrid>
      <w:tr w:rsidR="00AB7884" w:rsidRPr="0034040D" w:rsidTr="0021531A">
        <w:trPr>
          <w:trHeight w:val="1389"/>
        </w:trPr>
        <w:tc>
          <w:tcPr>
            <w:tcW w:w="1331" w:type="dxa"/>
          </w:tcPr>
          <w:p w:rsidR="00AB7884" w:rsidRPr="0034040D" w:rsidRDefault="00C42A6B">
            <w:pPr>
              <w:spacing w:before="120"/>
              <w:rPr>
                <w:rFonts w:ascii="Trebuchet MS" w:eastAsiaTheme="minorEastAsia" w:hAnsi="Trebuchet MS" w:cs="Trebuchet MS"/>
                <w:b/>
                <w:bCs/>
                <w:sz w:val="22"/>
                <w:szCs w:val="22"/>
              </w:rPr>
            </w:pPr>
            <w:r w:rsidRPr="00717A10">
              <w:rPr>
                <w:rFonts w:ascii="Trebuchet MS" w:eastAsiaTheme="minorEastAsia" w:hAnsi="Trebuchet MS" w:cs="Trebuchet MS"/>
                <w:sz w:val="22"/>
                <w:szCs w:val="22"/>
              </w:rPr>
              <w:pict>
                <v:shape id="_x0000_i1036" type="#_x0000_t75" style="width:60.75pt;height:59.25pt">
                  <v:imagedata r:id="rId13" o:title=""/>
                </v:shape>
              </w:pict>
            </w:r>
          </w:p>
        </w:tc>
        <w:tc>
          <w:tcPr>
            <w:tcW w:w="6859" w:type="dxa"/>
          </w:tcPr>
          <w:p w:rsidR="00AB7884" w:rsidRPr="0034040D" w:rsidRDefault="00AB7884">
            <w:pPr>
              <w:pStyle w:val="Foote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Internet Resource</w:t>
            </w:r>
          </w:p>
          <w:p w:rsidR="00AB7884" w:rsidRPr="0034040D" w:rsidRDefault="00AB7884">
            <w:pPr>
              <w:pStyle w:val="NormalWeb"/>
              <w:spacing w:before="0" w:beforeAutospacing="0" w:after="120" w:afterAutospacing="0"/>
              <w:rPr>
                <w:rFonts w:ascii="Trebuchet MS" w:eastAsiaTheme="minorEastAsia" w:hAnsi="Trebuchet MS" w:cs="Trebuchet MS"/>
                <w:b/>
                <w:bCs/>
                <w:sz w:val="22"/>
                <w:szCs w:val="22"/>
              </w:rPr>
            </w:pPr>
            <w:r w:rsidRPr="0034040D">
              <w:rPr>
                <w:rFonts w:ascii="Trebuchet MS" w:eastAsiaTheme="minorEastAsia" w:hAnsi="Trebuchet MS" w:cs="Trebuchet MS"/>
                <w:sz w:val="22"/>
                <w:szCs w:val="22"/>
              </w:rPr>
              <w:t xml:space="preserve">You can read </w:t>
            </w:r>
            <w:r w:rsidRPr="005A5796">
              <w:rPr>
                <w:rFonts w:ascii="Trebuchet MS" w:eastAsiaTheme="minorEastAsia" w:hAnsi="Trebuchet MS" w:cs="Trebuchet MS"/>
                <w:sz w:val="22"/>
                <w:szCs w:val="22"/>
              </w:rPr>
              <w:t xml:space="preserve">more about the timeline of climate change and about the Kyoto Protocol on the webpage: </w:t>
            </w:r>
            <w:hyperlink r:id="rId18" w:history="1">
              <w:r w:rsidRPr="005A5796">
                <w:rPr>
                  <w:rStyle w:val="Hyperlink"/>
                  <w:rFonts w:ascii="Trebuchet MS" w:eastAsiaTheme="minorEastAsia" w:hAnsi="Trebuchet MS" w:cs="Trebuchet MS"/>
                  <w:sz w:val="22"/>
                  <w:szCs w:val="22"/>
                  <w:u w:val="none"/>
                </w:rPr>
                <w:t>http://www.pbs.org/now/science/climatechange.html</w:t>
              </w:r>
            </w:hyperlink>
            <w:r w:rsidRPr="0034040D">
              <w:rPr>
                <w:rFonts w:ascii="Trebuchet MS" w:eastAsiaTheme="minorEastAsia" w:hAnsi="Trebuchet MS" w:cs="Trebuchet MS"/>
                <w:sz w:val="22"/>
                <w:szCs w:val="22"/>
              </w:rPr>
              <w:t>.</w:t>
            </w:r>
          </w:p>
        </w:tc>
      </w:tr>
    </w:tbl>
    <w:p w:rsidR="00AB7884" w:rsidRDefault="00AB7884">
      <w:pPr>
        <w:spacing w:before="240" w:after="120"/>
        <w:rPr>
          <w:b/>
          <w:bCs/>
          <w:sz w:val="22"/>
          <w:szCs w:val="22"/>
          <w:lang w:val="en-ZA" w:eastAsia="en-ZA"/>
        </w:rPr>
      </w:pPr>
    </w:p>
    <w:p w:rsidR="00AB7884" w:rsidRDefault="00AB7884">
      <w:pPr>
        <w:spacing w:before="240" w:after="120"/>
        <w:rPr>
          <w:b/>
          <w:bCs/>
          <w:sz w:val="22"/>
          <w:szCs w:val="22"/>
          <w:lang w:val="en-ZA" w:eastAsia="en-ZA"/>
        </w:rPr>
      </w:pPr>
      <w:r>
        <w:rPr>
          <w:b/>
          <w:bCs/>
          <w:sz w:val="22"/>
          <w:szCs w:val="22"/>
          <w:lang w:val="en-ZA" w:eastAsia="en-ZA"/>
        </w:rPr>
        <w:br w:type="page"/>
      </w:r>
      <w:r>
        <w:rPr>
          <w:b/>
          <w:bCs/>
          <w:sz w:val="22"/>
          <w:szCs w:val="22"/>
          <w:lang w:val="en-ZA" w:eastAsia="en-ZA"/>
        </w:rPr>
        <w:lastRenderedPageBreak/>
        <w:t>Global financial crisis (2007–2011)</w:t>
      </w:r>
    </w:p>
    <w:p w:rsidR="00AB7884" w:rsidRDefault="00AB7884">
      <w:pPr>
        <w:pStyle w:val="BodyText"/>
      </w:pPr>
      <w:r>
        <w:t xml:space="preserve">The global financial crisis of 2008 began within a specific sector of the American mortgage market – the sub-primes market. These are a type of housing loan offered to people who were not eligible for ordinary housing loans. In other words, they were high risk loans as financial institutions were well aware that many borrowers could not repay them. Financial institutions packaged these loans into single products which had varying degrees of risk (called securities). They then sold these on to other financial institutions across the globe, thus spreading the risk of default among a number of creditors. However, by 2008, 20% of those who had these loans, had defaulted and many financial institutions were at the brink of bankruptcy. The American authorities decided to rescue some of these institutions with bail out loans. However, when they decided not to bail out the investment bank, Lehman Brothers, this destabilised the world’s financial market.  </w:t>
      </w:r>
    </w:p>
    <w:p w:rsidR="00AB7884" w:rsidRDefault="00AB7884">
      <w:pPr>
        <w:rPr>
          <w:sz w:val="22"/>
          <w:szCs w:val="22"/>
          <w:lang w:val="en-ZA" w:eastAsia="en-ZA"/>
        </w:rPr>
      </w:pPr>
    </w:p>
    <w:p w:rsidR="00AB7884" w:rsidRDefault="00AB7884">
      <w:pPr>
        <w:autoSpaceDE w:val="0"/>
        <w:autoSpaceDN w:val="0"/>
        <w:adjustRightInd w:val="0"/>
        <w:rPr>
          <w:sz w:val="22"/>
          <w:szCs w:val="22"/>
          <w:lang w:val="en-ZA"/>
        </w:rPr>
      </w:pPr>
      <w:r>
        <w:rPr>
          <w:sz w:val="22"/>
          <w:szCs w:val="22"/>
          <w:lang w:val="en-ZA"/>
        </w:rPr>
        <w:t>Towards the end of 2008, the economies of the developed countries began to reduce their credit, especially to small and medium enterprises, and this resulted in many companies closing with massive job losses. International trade was affected and those countries that were mostly export-oriented suffered, as did foreign investment. In the light of this financial crisis, many countries cut their spending on public services, including their health budgets.</w:t>
      </w:r>
    </w:p>
    <w:p w:rsidR="00AB7884" w:rsidRDefault="00AB7884">
      <w:pPr>
        <w:autoSpaceDE w:val="0"/>
        <w:autoSpaceDN w:val="0"/>
        <w:adjustRightInd w:val="0"/>
        <w:rPr>
          <w:sz w:val="22"/>
          <w:szCs w:val="22"/>
          <w:lang w:val="en-ZA"/>
        </w:rPr>
      </w:pPr>
    </w:p>
    <w:p w:rsidR="00AB7884" w:rsidRDefault="00AB7884">
      <w:pPr>
        <w:rPr>
          <w:sz w:val="22"/>
          <w:szCs w:val="22"/>
          <w:lang w:val="en-ZA"/>
        </w:rPr>
      </w:pPr>
      <w:r>
        <w:rPr>
          <w:sz w:val="22"/>
          <w:szCs w:val="22"/>
          <w:lang w:val="en-ZA"/>
        </w:rPr>
        <w:t xml:space="preserve">This global economic crisis did not affect all countries in the same way, and in some emerging markets, such as China and India, there was in fact a growth in GDP (see below).  </w:t>
      </w:r>
    </w:p>
    <w:p w:rsidR="00AB7884" w:rsidRDefault="00AB7884">
      <w:pPr>
        <w:spacing w:before="240" w:after="120"/>
        <w:rPr>
          <w:color w:val="3E3E40"/>
          <w:sz w:val="22"/>
          <w:szCs w:val="22"/>
          <w:lang w:val="en-ZA"/>
        </w:rPr>
      </w:pPr>
      <w:r>
        <w:rPr>
          <w:rFonts w:ascii="Trebuchet MS" w:hAnsi="Trebuchet MS" w:cs="Trebuchet MS"/>
          <w:b/>
          <w:bCs/>
          <w:color w:val="3E3E40"/>
          <w:sz w:val="22"/>
          <w:szCs w:val="22"/>
          <w:lang w:val="en-ZA"/>
        </w:rPr>
        <w:t>Figure 2.1.6 Growth rate in % GDP 2007</w:t>
      </w:r>
      <w:r>
        <w:rPr>
          <w:rFonts w:ascii="Times New Roman" w:hAnsi="Times New Roman" w:cs="Times New Roman"/>
          <w:b/>
          <w:bCs/>
          <w:color w:val="3E3E40"/>
          <w:sz w:val="22"/>
          <w:szCs w:val="22"/>
          <w:lang w:val="en-ZA"/>
        </w:rPr>
        <w:t>─</w:t>
      </w:r>
      <w:r>
        <w:rPr>
          <w:rFonts w:ascii="Trebuchet MS" w:hAnsi="Trebuchet MS" w:cs="Trebuchet MS"/>
          <w:b/>
          <w:bCs/>
          <w:color w:val="3E3E40"/>
          <w:sz w:val="22"/>
          <w:szCs w:val="22"/>
          <w:lang w:val="en-ZA"/>
        </w:rPr>
        <w:t>2010</w:t>
      </w:r>
    </w:p>
    <w:p w:rsidR="00AB7884" w:rsidRDefault="00C42A6B">
      <w:pPr>
        <w:rPr>
          <w:color w:val="3E3E40"/>
          <w:sz w:val="22"/>
          <w:szCs w:val="22"/>
          <w:lang w:val="en-ZA"/>
        </w:rPr>
      </w:pPr>
      <w:r w:rsidRPr="00717A10">
        <w:rPr>
          <w:noProof/>
          <w:color w:val="3E3E40"/>
          <w:sz w:val="22"/>
          <w:szCs w:val="22"/>
          <w:lang w:val="nb-NO" w:eastAsia="nb-NO"/>
        </w:rPr>
        <w:pict>
          <v:shape id="Picture 2" o:spid="_x0000_i1037" type="#_x0000_t75" style="width:279.75pt;height:159.75pt;visibility:visible">
            <v:imagedata r:id="rId19" o:title=""/>
          </v:shape>
        </w:pict>
      </w:r>
    </w:p>
    <w:p w:rsidR="00AB7884" w:rsidRDefault="00AB7884">
      <w:pPr>
        <w:spacing w:before="120" w:after="120"/>
        <w:rPr>
          <w:lang w:val="en-ZA"/>
        </w:rPr>
      </w:pPr>
      <w:r>
        <w:rPr>
          <w:b/>
          <w:bCs/>
          <w:i/>
          <w:iCs/>
          <w:lang w:val="en-ZA"/>
        </w:rPr>
        <w:t>Source</w:t>
      </w:r>
      <w:r>
        <w:rPr>
          <w:lang w:val="en-ZA"/>
        </w:rPr>
        <w:t>: Paulo, S. (2011) Europe and the global financial crisis: Taking stock of the EU’s policy response, Foundation Robert Schuman.</w:t>
      </w:r>
    </w:p>
    <w:p w:rsidR="00AB7884" w:rsidRDefault="00AB7884">
      <w:pPr>
        <w:spacing w:before="120" w:after="120"/>
        <w:rPr>
          <w:lang w:val="en-ZA"/>
        </w:rPr>
      </w:pPr>
    </w:p>
    <w:tbl>
      <w:tblPr>
        <w:tblW w:w="8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36"/>
      </w:tblGrid>
      <w:tr w:rsidR="00B86DF9" w:rsidRPr="0034040D" w:rsidTr="00B86DF9">
        <w:trPr>
          <w:trHeight w:val="2010"/>
        </w:trPr>
        <w:tc>
          <w:tcPr>
            <w:tcW w:w="8536" w:type="dxa"/>
          </w:tcPr>
          <w:p w:rsidR="00B86DF9" w:rsidRPr="00B86DF9" w:rsidRDefault="00B86DF9">
            <w:pPr>
              <w:pStyle w:val="EndnoteText"/>
              <w:spacing w:before="120" w:after="120"/>
              <w:rPr>
                <w:rFonts w:ascii="Trebuchet MS" w:eastAsiaTheme="minorEastAsia" w:hAnsi="Trebuchet MS" w:cs="Trebuchet MS"/>
                <w:b/>
                <w:bCs/>
              </w:rPr>
            </w:pPr>
            <w:r w:rsidRPr="00B86DF9">
              <w:rPr>
                <w:rFonts w:ascii="Trebuchet MS" w:eastAsiaTheme="minorEastAsia" w:hAnsi="Trebuchet MS" w:cs="Trebuchet MS"/>
                <w:b/>
                <w:bCs/>
              </w:rPr>
              <w:t>A DVD you should see</w:t>
            </w:r>
          </w:p>
          <w:p w:rsidR="00B86DF9" w:rsidRPr="00B86DF9" w:rsidRDefault="00B86DF9">
            <w:pPr>
              <w:rPr>
                <w:rFonts w:ascii="Trebuchet MS" w:eastAsiaTheme="minorEastAsia" w:hAnsi="Trebuchet MS" w:cs="Trebuchet MS"/>
              </w:rPr>
            </w:pPr>
            <w:r w:rsidRPr="00B86DF9">
              <w:rPr>
                <w:rFonts w:ascii="Trebuchet MS" w:eastAsiaTheme="minorEastAsia" w:hAnsi="Trebuchet MS" w:cs="Trebuchet MS"/>
                <w:i/>
                <w:iCs/>
              </w:rPr>
              <w:t xml:space="preserve">Inside Job. </w:t>
            </w:r>
            <w:r w:rsidRPr="00B86DF9">
              <w:rPr>
                <w:rFonts w:ascii="Trebuchet MS" w:eastAsiaTheme="minorEastAsia" w:hAnsi="Trebuchet MS" w:cs="Trebuchet MS"/>
              </w:rPr>
              <w:t>(2008)</w:t>
            </w:r>
            <w:r w:rsidRPr="00B86DF9">
              <w:rPr>
                <w:rFonts w:ascii="Trebuchet MS" w:eastAsiaTheme="minorEastAsia" w:hAnsi="Trebuchet MS" w:cs="Trebuchet MS"/>
                <w:i/>
                <w:iCs/>
              </w:rPr>
              <w:t xml:space="preserve">. </w:t>
            </w:r>
            <w:r w:rsidRPr="00B86DF9">
              <w:rPr>
                <w:rFonts w:ascii="Trebuchet MS" w:eastAsiaTheme="minorEastAsia" w:hAnsi="Trebuchet MS" w:cs="Trebuchet MS"/>
              </w:rPr>
              <w:t>Charles H. Ferguson.</w:t>
            </w:r>
          </w:p>
          <w:p w:rsidR="00B86DF9" w:rsidRPr="00B86DF9" w:rsidRDefault="00B86DF9">
            <w:pPr>
              <w:rPr>
                <w:rFonts w:ascii="Trebuchet MS" w:eastAsiaTheme="minorEastAsia" w:hAnsi="Trebuchet MS" w:cs="Trebuchet MS"/>
              </w:rPr>
            </w:pPr>
          </w:p>
          <w:p w:rsidR="00B86DF9" w:rsidRPr="00B86DF9" w:rsidRDefault="00B86DF9">
            <w:pPr>
              <w:spacing w:after="120"/>
              <w:rPr>
                <w:rFonts w:ascii="Trebuchet MS" w:eastAsiaTheme="minorEastAsia" w:hAnsi="Trebuchet MS" w:cs="Trebuchet MS"/>
                <w:b/>
                <w:bCs/>
              </w:rPr>
            </w:pPr>
            <w:r w:rsidRPr="00B86DF9">
              <w:rPr>
                <w:rFonts w:ascii="Trebuchet MS" w:eastAsiaTheme="minorEastAsia" w:hAnsi="Trebuchet MS" w:cs="Trebuchet MS"/>
              </w:rPr>
              <w:t>The above documentary provides a good insight into the financial crisis of 2008 and shows how changes in the policy environment and banking practices in the US helped create the global economic crisis.</w:t>
            </w:r>
          </w:p>
        </w:tc>
      </w:tr>
    </w:tbl>
    <w:p w:rsidR="00AB7884" w:rsidRDefault="00AB7884">
      <w:pPr>
        <w:spacing w:before="120"/>
        <w:rPr>
          <w:sz w:val="22"/>
          <w:szCs w:val="22"/>
          <w:lang w:val="en-ZA" w:eastAsia="en-ZA"/>
        </w:rPr>
      </w:pPr>
      <w:r>
        <w:rPr>
          <w:color w:val="3E3E40"/>
          <w:sz w:val="22"/>
          <w:szCs w:val="22"/>
          <w:lang w:val="en-ZA"/>
        </w:rPr>
        <w:lastRenderedPageBreak/>
        <w:t xml:space="preserve">The global economic </w:t>
      </w:r>
      <w:r>
        <w:rPr>
          <w:sz w:val="22"/>
          <w:szCs w:val="22"/>
          <w:lang w:val="en-ZA" w:eastAsia="en-ZA"/>
        </w:rPr>
        <w:t xml:space="preserve">crisis has affected the livelihoods and lives of almost everyone in our increasingly interconnected world, with the poor being the hardest hit because of rising food prices amongst other adverse effects, such as droughts, floods and cyclones due to climate change. According to the World Bank (2011), the Food Price Index (FPI) in March 2011 was 36% higher than it was in March 2010. Key staples were significantly more costly than they were in the same time period in 2010 with maize showing a 74% increase; wheat 69%; soybeans 36%; and sugar 21%. Rice prices remained relatively stable. This was good news to </w:t>
      </w:r>
      <w:r>
        <w:rPr>
          <w:sz w:val="22"/>
          <w:szCs w:val="22"/>
        </w:rPr>
        <w:t>farmers in low-income countries as their markets were now longer flooded with subsidised cheap staples, and because they would get better prices for their own produce.</w:t>
      </w:r>
      <w:r>
        <w:rPr>
          <w:sz w:val="22"/>
          <w:szCs w:val="22"/>
          <w:lang w:val="en-ZA" w:eastAsia="en-ZA"/>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34040D" w:rsidTr="0021531A">
        <w:tc>
          <w:tcPr>
            <w:tcW w:w="8190" w:type="dxa"/>
          </w:tcPr>
          <w:p w:rsidR="00AB7884" w:rsidRPr="0034040D" w:rsidRDefault="00AB7884">
            <w:pPr>
              <w:spacing w:before="120" w:after="120"/>
              <w:rPr>
                <w:rFonts w:ascii="Trebuchet MS" w:eastAsiaTheme="minorEastAsia" w:hAnsi="Trebuchet MS" w:cs="Trebuchet MS"/>
                <w:b/>
                <w:bCs/>
                <w:lang w:val="en-ZA" w:eastAsia="en-ZA"/>
              </w:rPr>
            </w:pPr>
            <w:r w:rsidRPr="0034040D">
              <w:rPr>
                <w:rFonts w:ascii="Trebuchet MS" w:eastAsiaTheme="minorEastAsia" w:hAnsi="Trebuchet MS" w:cs="Trebuchet MS"/>
                <w:b/>
                <w:bCs/>
                <w:lang w:val="en-ZA" w:eastAsia="en-ZA"/>
              </w:rPr>
              <w:t>GLOSSARY</w:t>
            </w:r>
          </w:p>
          <w:p w:rsidR="00AB7884" w:rsidRPr="0034040D" w:rsidRDefault="00AB7884">
            <w:pPr>
              <w:spacing w:after="120"/>
              <w:rPr>
                <w:rFonts w:eastAsiaTheme="minorEastAsia"/>
                <w:b/>
                <w:bCs/>
                <w:lang w:val="en-ZA" w:eastAsia="en-ZA"/>
              </w:rPr>
            </w:pPr>
            <w:r w:rsidRPr="0034040D">
              <w:rPr>
                <w:rFonts w:ascii="Trebuchet MS" w:eastAsiaTheme="minorEastAsia" w:hAnsi="Trebuchet MS" w:cs="Trebuchet MS"/>
                <w:b/>
                <w:bCs/>
                <w:lang w:val="en-ZA" w:eastAsia="en-ZA"/>
              </w:rPr>
              <w:t xml:space="preserve">The Food Price Index (FPI): </w:t>
            </w:r>
            <w:r w:rsidRPr="0034040D">
              <w:rPr>
                <w:rFonts w:ascii="Trebuchet MS" w:eastAsiaTheme="minorEastAsia" w:hAnsi="Trebuchet MS" w:cs="Trebuchet MS"/>
                <w:lang w:val="en-ZA" w:eastAsia="en-ZA"/>
              </w:rPr>
              <w:t>The Food and Agricultural Organisation (FAO) of the UN uses a Food Price Index to measure the monthly change in international prices of a basket of food commodities. It consists of five commodity foods and their prices – meat, cereal, oils and fats, dairy and sugar; and it measures prices against the average export shares of each group for 2002–2004.</w:t>
            </w:r>
            <w:r w:rsidRPr="0034040D">
              <w:rPr>
                <w:rFonts w:eastAsiaTheme="minorEastAsia"/>
                <w:lang w:val="en-ZA" w:eastAsia="en-ZA"/>
              </w:rPr>
              <w:t xml:space="preserve"> </w:t>
            </w:r>
          </w:p>
        </w:tc>
      </w:tr>
    </w:tbl>
    <w:p w:rsidR="00AB7884" w:rsidRDefault="00AB7884">
      <w:pPr>
        <w:spacing w:before="120" w:after="200"/>
        <w:rPr>
          <w:sz w:val="22"/>
          <w:szCs w:val="22"/>
          <w:lang w:val="en-ZA" w:eastAsia="en-ZA"/>
        </w:rPr>
      </w:pPr>
      <w:r>
        <w:rPr>
          <w:sz w:val="22"/>
          <w:szCs w:val="22"/>
          <w:lang w:val="en-ZA" w:eastAsia="en-ZA"/>
        </w:rPr>
        <w:t xml:space="preserve">The graph in Figure 2.1.7 from the FAO shows the Food Price Indices for each commodity food group in the last six months of 2010 and the first six months of 2011. </w:t>
      </w:r>
    </w:p>
    <w:p w:rsidR="00AB7884" w:rsidRDefault="00AB7884">
      <w:pPr>
        <w:spacing w:before="240" w:after="120"/>
        <w:rPr>
          <w:rFonts w:ascii="Trebuchet MS" w:hAnsi="Trebuchet MS" w:cs="Trebuchet MS"/>
          <w:b/>
          <w:bCs/>
          <w:sz w:val="22"/>
          <w:szCs w:val="22"/>
          <w:lang w:val="en-ZA" w:eastAsia="en-ZA"/>
        </w:rPr>
      </w:pPr>
      <w:r>
        <w:rPr>
          <w:rFonts w:ascii="Trebuchet MS" w:hAnsi="Trebuchet MS" w:cs="Trebuchet MS"/>
          <w:b/>
          <w:bCs/>
          <w:sz w:val="22"/>
          <w:szCs w:val="22"/>
          <w:lang w:val="en-ZA" w:eastAsia="en-ZA"/>
        </w:rPr>
        <w:t>Figure 2.1.7 Food Commodity Price Indices</w:t>
      </w:r>
    </w:p>
    <w:p w:rsidR="00AB7884" w:rsidRDefault="00C42A6B">
      <w:pPr>
        <w:rPr>
          <w:rFonts w:ascii="Times New Roman" w:hAnsi="Times New Roman" w:cs="Times New Roman"/>
          <w:noProof/>
          <w:lang w:val="nb-NO" w:eastAsia="nb-NO"/>
        </w:rPr>
      </w:pPr>
      <w:r w:rsidRPr="00717A10">
        <w:rPr>
          <w:rFonts w:ascii="Times New Roman" w:hAnsi="Times New Roman" w:cs="Times New Roman"/>
          <w:noProof/>
          <w:lang w:val="nb-NO" w:eastAsia="nb-NO"/>
        </w:rPr>
        <w:pict>
          <v:shape id="Picture 14" o:spid="_x0000_i1038" type="#_x0000_t75" style="width:171pt;height:214.5pt;visibility:visible">
            <v:imagedata r:id="rId20" o:title=""/>
          </v:shape>
        </w:pict>
      </w:r>
    </w:p>
    <w:p w:rsidR="00AB7884" w:rsidRDefault="00AB7884">
      <w:pPr>
        <w:rPr>
          <w:sz w:val="22"/>
          <w:szCs w:val="22"/>
          <w:lang w:val="en-ZA" w:eastAsia="en-ZA"/>
        </w:rPr>
      </w:pPr>
    </w:p>
    <w:p w:rsidR="00AB7884" w:rsidRDefault="00AB7884">
      <w:r>
        <w:rPr>
          <w:b/>
          <w:bCs/>
          <w:i/>
          <w:iCs/>
          <w:lang w:val="en-ZA" w:eastAsia="en-ZA"/>
        </w:rPr>
        <w:t>Source</w:t>
      </w:r>
      <w:r>
        <w:rPr>
          <w:lang w:val="en-ZA" w:eastAsia="en-ZA"/>
        </w:rPr>
        <w:t xml:space="preserve">: Food and Agricultural Organisation (FAO). (2011). </w:t>
      </w:r>
      <w:r>
        <w:t>World Food Situation.</w:t>
      </w:r>
    </w:p>
    <w:p w:rsidR="00AB7884" w:rsidRPr="005A5796" w:rsidRDefault="00717A10">
      <w:pPr>
        <w:rPr>
          <w:lang w:val="en-ZA" w:eastAsia="en-ZA"/>
        </w:rPr>
      </w:pPr>
      <w:hyperlink r:id="rId21" w:history="1">
        <w:r w:rsidR="00AB7884" w:rsidRPr="005A5796">
          <w:rPr>
            <w:rStyle w:val="Hyperlink"/>
            <w:rFonts w:ascii="Arial" w:hAnsi="Arial" w:cs="Arial"/>
            <w:u w:val="none"/>
            <w:lang w:val="en-ZA" w:eastAsia="en-ZA"/>
          </w:rPr>
          <w:t>http://www.fao.org/worldfoodsituation/wfs-home/foodpricesindex/en/</w:t>
        </w:r>
      </w:hyperlink>
      <w:r w:rsidR="00AB7884" w:rsidRPr="005A5796">
        <w:rPr>
          <w:rFonts w:ascii="Times New Roman" w:hAnsi="Times New Roman" w:cs="Times New Roman"/>
        </w:rPr>
        <w:t xml:space="preserve"> </w:t>
      </w:r>
    </w:p>
    <w:p w:rsidR="00AB7884" w:rsidRDefault="00AB7884">
      <w:pPr>
        <w:rPr>
          <w:sz w:val="22"/>
          <w:szCs w:val="22"/>
          <w:lang w:val="en-ZA" w:eastAsia="en-ZA"/>
        </w:rPr>
      </w:pPr>
    </w:p>
    <w:p w:rsidR="00AB7884" w:rsidRDefault="00AB7884">
      <w:pPr>
        <w:rPr>
          <w:sz w:val="22"/>
          <w:szCs w:val="22"/>
          <w:lang w:val="en-ZA" w:eastAsia="en-ZA"/>
        </w:rPr>
      </w:pPr>
      <w:r>
        <w:rPr>
          <w:sz w:val="22"/>
          <w:szCs w:val="22"/>
          <w:lang w:val="en-ZA" w:eastAsia="en-ZA"/>
        </w:rPr>
        <w:t>Some of the factors that account for rising food prices are as follows:</w:t>
      </w:r>
    </w:p>
    <w:p w:rsidR="00AB7884" w:rsidRDefault="00AB7884">
      <w:pPr>
        <w:pStyle w:val="ListParagraph"/>
        <w:numPr>
          <w:ilvl w:val="0"/>
          <w:numId w:val="6"/>
        </w:numPr>
        <w:spacing w:before="100" w:beforeAutospacing="1" w:after="100" w:afterAutospacing="1"/>
        <w:rPr>
          <w:sz w:val="22"/>
          <w:szCs w:val="22"/>
          <w:lang w:val="en-ZA" w:eastAsia="en-ZA"/>
        </w:rPr>
      </w:pPr>
      <w:r>
        <w:rPr>
          <w:sz w:val="22"/>
          <w:szCs w:val="22"/>
          <w:lang w:val="en-US"/>
        </w:rPr>
        <w:t>Global economic growth has had an increasingly destructive effect on the natural environment. The production and consumption of goods and food for the global market has increased carbon dioxide and methane emissions, which have resulted in global climate change. An average global temperature increase by 1.5 –6</w:t>
      </w:r>
      <w:r>
        <w:rPr>
          <w:sz w:val="22"/>
          <w:szCs w:val="22"/>
        </w:rPr>
        <w:t xml:space="preserve"> °C is enough to cause significant changes to our world climate and weather patterns, resulting in more extreme storms, floods, droughts and heat waves. In</w:t>
      </w:r>
      <w:r>
        <w:rPr>
          <w:sz w:val="22"/>
          <w:szCs w:val="22"/>
          <w:lang w:val="en-ZA" w:eastAsia="en-ZA"/>
        </w:rPr>
        <w:t xml:space="preserve"> the second half of 2010 there were severe weather events in key grain exporters such as the </w:t>
      </w:r>
      <w:r>
        <w:rPr>
          <w:sz w:val="22"/>
          <w:szCs w:val="22"/>
          <w:lang w:val="en-ZA" w:eastAsia="en-ZA"/>
        </w:rPr>
        <w:lastRenderedPageBreak/>
        <w:t xml:space="preserve">Russian Federation, Kazakhstan, Canada, Australia, and Argentina. By the end of 2010, grain stocks were down to historically low levels. </w:t>
      </w:r>
    </w:p>
    <w:p w:rsidR="00AB7884" w:rsidRDefault="00AB7884">
      <w:pPr>
        <w:pStyle w:val="ListParagraph"/>
        <w:numPr>
          <w:ilvl w:val="0"/>
          <w:numId w:val="6"/>
        </w:numPr>
        <w:spacing w:before="100" w:beforeAutospacing="1" w:after="100" w:afterAutospacing="1"/>
        <w:rPr>
          <w:sz w:val="22"/>
          <w:szCs w:val="22"/>
          <w:lang w:val="en-ZA" w:eastAsia="en-ZA"/>
        </w:rPr>
      </w:pPr>
      <w:r>
        <w:rPr>
          <w:sz w:val="22"/>
          <w:szCs w:val="22"/>
          <w:lang w:val="en-ZA" w:eastAsia="en-ZA"/>
        </w:rPr>
        <w:t xml:space="preserve">The increased use of food for biofuel production has contributed to higher food prices and food insecurity. In developed countries the production of biofuel from food is motivated by an attempt to offset greenhouse gas emissions, reduce dependence on imported oil, and support farmers by increasing the demand for their crops.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34040D" w:rsidTr="0021531A">
        <w:tc>
          <w:tcPr>
            <w:tcW w:w="8190" w:type="dxa"/>
          </w:tcPr>
          <w:p w:rsidR="00AB7884" w:rsidRPr="0034040D" w:rsidRDefault="00AB7884">
            <w:pPr>
              <w:spacing w:before="120" w:after="120"/>
              <w:rPr>
                <w:rFonts w:ascii="Trebuchet MS" w:eastAsiaTheme="minorEastAsia" w:hAnsi="Trebuchet MS" w:cs="Trebuchet MS"/>
                <w:b/>
                <w:bCs/>
                <w:lang w:val="en-ZA" w:eastAsia="en-ZA"/>
              </w:rPr>
            </w:pPr>
            <w:r w:rsidRPr="0034040D">
              <w:rPr>
                <w:rFonts w:ascii="Trebuchet MS" w:eastAsiaTheme="minorEastAsia" w:hAnsi="Trebuchet MS" w:cs="Trebuchet MS"/>
                <w:b/>
                <w:bCs/>
                <w:lang w:val="en-ZA" w:eastAsia="en-ZA"/>
              </w:rPr>
              <w:t>GLOSSARY</w:t>
            </w:r>
          </w:p>
          <w:p w:rsidR="00AB7884" w:rsidRPr="0034040D" w:rsidRDefault="00AB7884">
            <w:pPr>
              <w:spacing w:before="100" w:beforeAutospacing="1" w:after="120"/>
              <w:rPr>
                <w:rFonts w:eastAsiaTheme="minorEastAsia"/>
                <w:sz w:val="22"/>
                <w:szCs w:val="22"/>
                <w:lang w:val="en-ZA" w:eastAsia="en-ZA"/>
              </w:rPr>
            </w:pPr>
            <w:r w:rsidRPr="0034040D">
              <w:rPr>
                <w:rFonts w:ascii="Trebuchet MS" w:eastAsiaTheme="minorEastAsia" w:hAnsi="Trebuchet MS" w:cs="Trebuchet MS"/>
                <w:b/>
                <w:bCs/>
                <w:lang w:val="en-ZA" w:eastAsia="en-ZA"/>
              </w:rPr>
              <w:t xml:space="preserve">Biofuel: </w:t>
            </w:r>
            <w:r w:rsidRPr="0034040D">
              <w:rPr>
                <w:rFonts w:ascii="Trebuchet MS" w:eastAsiaTheme="minorEastAsia" w:hAnsi="Trebuchet MS" w:cs="Trebuchet MS"/>
              </w:rPr>
              <w:t>A solid, liquid or gas that is composed of a recently dead biological matter. Most of it comes from plants and animals, and their by-products, all of which are renewable. Some agricultural products are specifically grown for the production of biofuels, such as switch grass, soybeans and corn in the US, sugar cane in Brazil, sugar beets and wheat in Europe, cassava and sorghum in China, miscanthus and palm oil in southeast Asia, and jatropha in India.</w:t>
            </w:r>
            <w:r w:rsidRPr="0034040D">
              <w:rPr>
                <w:rFonts w:ascii="Times New Roman" w:eastAsiaTheme="minorEastAsia" w:hAnsi="Times New Roman" w:cs="Times New Roman"/>
              </w:rPr>
              <w:t xml:space="preserve"> </w:t>
            </w:r>
          </w:p>
        </w:tc>
      </w:tr>
    </w:tbl>
    <w:p w:rsidR="00AB7884" w:rsidRDefault="00AB7884">
      <w:pPr>
        <w:pStyle w:val="CommentText"/>
        <w:numPr>
          <w:ilvl w:val="0"/>
          <w:numId w:val="6"/>
        </w:numPr>
        <w:spacing w:before="120" w:after="100" w:afterAutospacing="1"/>
        <w:ind w:left="357" w:hanging="357"/>
        <w:rPr>
          <w:sz w:val="22"/>
          <w:szCs w:val="22"/>
          <w:lang w:val="en-ZA" w:eastAsia="en-ZA"/>
        </w:rPr>
      </w:pPr>
      <w:r>
        <w:rPr>
          <w:sz w:val="22"/>
          <w:szCs w:val="22"/>
          <w:lang w:val="en-ZA" w:eastAsia="en-ZA"/>
        </w:rPr>
        <w:t>Higher oil and biofuel prices have pushed up food prices</w:t>
      </w:r>
      <w:r>
        <w:rPr>
          <w:sz w:val="22"/>
          <w:szCs w:val="22"/>
        </w:rPr>
        <w:t xml:space="preserve">. </w:t>
      </w:r>
      <w:r>
        <w:rPr>
          <w:sz w:val="22"/>
          <w:szCs w:val="22"/>
          <w:lang w:val="en-ZA" w:eastAsia="en-ZA"/>
        </w:rPr>
        <w:t xml:space="preserve">In March 2011, crude oil prices increased by 10,3% – this was 36% higher than prices a year earlier. Higher oil and biofuel prices feed into the cost of food production through, inter alia, higher fertiliser prices, higher irrigation costs, and higher transportation costs to move crops to their destination markets. </w:t>
      </w:r>
      <w:r>
        <w:rPr>
          <w:sz w:val="22"/>
          <w:szCs w:val="22"/>
        </w:rPr>
        <w:t>Again, these price increases were beneficial to small-scale farmers in low-income countries, who don’t rely much on fuel and fertilisers.</w:t>
      </w:r>
    </w:p>
    <w:p w:rsidR="00AB7884" w:rsidRDefault="00AB7884">
      <w:pPr>
        <w:rPr>
          <w:sz w:val="22"/>
          <w:szCs w:val="22"/>
          <w:lang w:val="en-ZA" w:eastAsia="en-ZA"/>
        </w:rPr>
      </w:pPr>
      <w:r>
        <w:rPr>
          <w:sz w:val="22"/>
          <w:szCs w:val="22"/>
          <w:lang w:val="en-ZA" w:eastAsia="en-ZA"/>
        </w:rPr>
        <w:t xml:space="preserve">According to the World Bank’s </w:t>
      </w:r>
      <w:r>
        <w:rPr>
          <w:i/>
          <w:iCs/>
          <w:sz w:val="22"/>
          <w:szCs w:val="22"/>
          <w:lang w:val="en-ZA" w:eastAsia="en-ZA"/>
        </w:rPr>
        <w:t>Food Price Watch</w:t>
      </w:r>
      <w:r>
        <w:rPr>
          <w:sz w:val="22"/>
          <w:szCs w:val="22"/>
          <w:lang w:val="en-ZA" w:eastAsia="en-ZA"/>
        </w:rPr>
        <w:t xml:space="preserve"> (2011) the increase in food prices has led to deepening poverty, especially for those urban poor who already live below the extreme poverty line of $1.25 a day and who spend most of their income on staple foods. The crisis means that the urban poor resort to eating less and to eating poorer diets which have long-term nutritional and health consequences. It is important to highlight that it is the urban poor populations who have been most detrimentally affected, rather than the rural subsistence farmers, who tend to be the majority in most Sub-Saharan countries. </w:t>
      </w:r>
    </w:p>
    <w:p w:rsidR="00AB7884" w:rsidRDefault="00AB7884">
      <w:pPr>
        <w:rPr>
          <w:sz w:val="22"/>
          <w:szCs w:val="22"/>
          <w:lang w:val="en-ZA" w:eastAsia="en-ZA"/>
        </w:rPr>
      </w:pPr>
    </w:p>
    <w:p w:rsidR="00AB7884" w:rsidRDefault="00AB7884">
      <w:pPr>
        <w:pStyle w:val="Heading2"/>
        <w:rPr>
          <w:rFonts w:ascii="Trebuchet MS" w:hAnsi="Trebuchet MS" w:cs="Trebuchet MS"/>
          <w:color w:val="FF0000"/>
          <w:sz w:val="28"/>
          <w:szCs w:val="28"/>
        </w:rPr>
      </w:pPr>
      <w:r>
        <w:rPr>
          <w:rFonts w:ascii="Trebuchet MS" w:hAnsi="Trebuchet MS" w:cs="Trebuchet MS"/>
          <w:sz w:val="28"/>
          <w:szCs w:val="28"/>
        </w:rPr>
        <w:t>4</w:t>
      </w:r>
      <w:r>
        <w:rPr>
          <w:rFonts w:ascii="Trebuchet MS" w:hAnsi="Trebuchet MS" w:cs="Trebuchet MS"/>
          <w:sz w:val="28"/>
          <w:szCs w:val="28"/>
        </w:rPr>
        <w:tab/>
        <w:t xml:space="preserve">WHAT DRIVES GLOBALISATION? </w:t>
      </w:r>
    </w:p>
    <w:p w:rsidR="00AB7884" w:rsidRDefault="00717A10">
      <w:pPr>
        <w:spacing w:after="120"/>
        <w:rPr>
          <w:rFonts w:ascii="Trebuchet MS" w:hAnsi="Trebuchet MS" w:cs="Trebuchet MS"/>
          <w:b/>
          <w:bCs/>
          <w:sz w:val="18"/>
          <w:szCs w:val="18"/>
        </w:rPr>
      </w:pPr>
      <w:r w:rsidRPr="00717A10">
        <w:rPr>
          <w:color w:val="FF0000"/>
          <w:sz w:val="24"/>
          <w:szCs w:val="24"/>
        </w:rPr>
        <w:pict>
          <v:rect id="_x0000_i1039" style="width:425.2pt;height:2pt" o:hralign="center" o:hrstd="t" o:hrnoshade="t" o:hr="t" fillcolor="black" stroked="f"/>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0"/>
      </w:tblGrid>
      <w:tr w:rsidR="00AB7884" w:rsidRPr="0034040D" w:rsidTr="0021531A">
        <w:tc>
          <w:tcPr>
            <w:tcW w:w="8550" w:type="dxa"/>
          </w:tcPr>
          <w:p w:rsidR="00AB7884" w:rsidRPr="0034040D" w:rsidRDefault="00AB7884">
            <w:pPr>
              <w:pStyle w:val="Heading6"/>
              <w:autoSpaceDE/>
              <w:autoSpaceDN/>
              <w:adjustRightInd/>
              <w:spacing w:after="120"/>
              <w:rPr>
                <w:rFonts w:eastAsiaTheme="minorEastAsia"/>
                <w:lang w:val="en-US"/>
              </w:rPr>
            </w:pPr>
            <w:r w:rsidRPr="0034040D">
              <w:rPr>
                <w:rFonts w:eastAsiaTheme="minorEastAsia"/>
                <w:lang w:val="en-US"/>
              </w:rPr>
              <w:t>TASK 3 - Identify what drives globalisation</w:t>
            </w:r>
          </w:p>
          <w:p w:rsidR="00AB7884" w:rsidRPr="0034040D" w:rsidRDefault="00AB7884" w:rsidP="0021531A">
            <w:pPr>
              <w:pStyle w:val="ListParagraph"/>
              <w:spacing w:after="120"/>
              <w:ind w:left="0"/>
              <w:rPr>
                <w:rFonts w:ascii="Trebuchet MS" w:eastAsiaTheme="minorEastAsia" w:hAnsi="Trebuchet MS" w:cs="Trebuchet MS"/>
              </w:rPr>
            </w:pPr>
            <w:r w:rsidRPr="0034040D">
              <w:rPr>
                <w:rFonts w:ascii="Trebuchet MS" w:eastAsiaTheme="minorEastAsia" w:hAnsi="Trebuchet MS" w:cs="Trebuchet MS"/>
                <w:sz w:val="22"/>
                <w:szCs w:val="22"/>
                <w:lang w:val="en-US"/>
              </w:rPr>
              <w:t xml:space="preserve">1. List those bodies, organisations and processes which you consider to be the main economic drivers of globalisation. </w:t>
            </w:r>
          </w:p>
          <w:p w:rsidR="00AB7884" w:rsidRPr="0034040D" w:rsidRDefault="00AB7884" w:rsidP="0021531A">
            <w:pPr>
              <w:pStyle w:val="ListParagraph"/>
              <w:spacing w:after="120"/>
              <w:ind w:left="0"/>
              <w:rPr>
                <w:rFonts w:ascii="Trebuchet MS" w:eastAsiaTheme="minorEastAsia" w:hAnsi="Trebuchet MS" w:cs="Trebuchet MS"/>
                <w:sz w:val="22"/>
                <w:szCs w:val="22"/>
                <w:lang w:val="en-US"/>
              </w:rPr>
            </w:pPr>
            <w:r w:rsidRPr="0034040D">
              <w:rPr>
                <w:rFonts w:ascii="Trebuchet MS" w:eastAsiaTheme="minorEastAsia" w:hAnsi="Trebuchet MS" w:cs="Trebuchet MS"/>
                <w:sz w:val="22"/>
                <w:szCs w:val="22"/>
                <w:lang w:val="en-US"/>
              </w:rPr>
              <w:t xml:space="preserve">2. Which of these top 10 TNCs for 2011 have a presence in your country: Exxon Mobil; PetroChina; Apple; Industial &amp; Commercial Bank of China; </w:t>
            </w:r>
            <w:r w:rsidRPr="0034040D">
              <w:rPr>
                <w:rFonts w:ascii="Trebuchet MS" w:eastAsiaTheme="minorEastAsia" w:hAnsi="Trebuchet MS" w:cs="Trebuchet MS"/>
                <w:sz w:val="22"/>
                <w:szCs w:val="22"/>
              </w:rPr>
              <w:t>Petrobras Brazil; BHP Billiton; China Construction Bank; Royal Dutch Shell; Chevron; Microsoft?</w:t>
            </w:r>
          </w:p>
          <w:p w:rsidR="00AB7884" w:rsidRPr="0034040D" w:rsidRDefault="00AB7884" w:rsidP="0021531A">
            <w:pPr>
              <w:pStyle w:val="ListParagraph"/>
              <w:spacing w:after="120"/>
              <w:ind w:left="0"/>
              <w:rPr>
                <w:rFonts w:ascii="Trebuchet MS" w:eastAsiaTheme="minorEastAsia" w:hAnsi="Trebuchet MS" w:cs="Trebuchet MS"/>
                <w:sz w:val="22"/>
                <w:szCs w:val="22"/>
                <w:lang w:val="en-US"/>
              </w:rPr>
            </w:pPr>
            <w:r w:rsidRPr="0034040D">
              <w:rPr>
                <w:rFonts w:ascii="Trebuchet MS" w:eastAsiaTheme="minorEastAsia" w:hAnsi="Trebuchet MS" w:cs="Trebuchet MS"/>
                <w:sz w:val="22"/>
                <w:szCs w:val="22"/>
                <w:lang w:val="en-US"/>
              </w:rPr>
              <w:t>3. What role do TNCs play in your country?</w:t>
            </w:r>
          </w:p>
          <w:p w:rsidR="00AB7884" w:rsidRPr="0034040D" w:rsidRDefault="00AB7884" w:rsidP="0021531A">
            <w:pPr>
              <w:pStyle w:val="ListParagraph"/>
              <w:spacing w:after="120"/>
              <w:ind w:left="0"/>
              <w:rPr>
                <w:rFonts w:ascii="Trebuchet MS" w:eastAsiaTheme="minorEastAsia" w:hAnsi="Trebuchet MS" w:cs="Trebuchet MS"/>
                <w:b/>
                <w:bCs/>
                <w:sz w:val="22"/>
                <w:szCs w:val="22"/>
                <w:lang w:val="en-US"/>
              </w:rPr>
            </w:pPr>
            <w:r w:rsidRPr="0034040D">
              <w:rPr>
                <w:rFonts w:ascii="Trebuchet MS" w:eastAsiaTheme="minorEastAsia" w:hAnsi="Trebuchet MS" w:cs="Trebuchet MS"/>
                <w:sz w:val="22"/>
                <w:szCs w:val="22"/>
                <w:lang w:val="en-US"/>
              </w:rPr>
              <w:t>4. What else drives globalisation? How?</w:t>
            </w:r>
          </w:p>
        </w:tc>
      </w:tr>
    </w:tbl>
    <w:p w:rsidR="0021531A" w:rsidRDefault="0021531A">
      <w:pPr>
        <w:pStyle w:val="Caption"/>
      </w:pPr>
    </w:p>
    <w:p w:rsidR="00AB7884" w:rsidRPr="0021531A" w:rsidRDefault="0021531A" w:rsidP="0021531A">
      <w:pPr>
        <w:rPr>
          <w:rFonts w:ascii="Trebuchet MS" w:hAnsi="Trebuchet MS"/>
          <w:b/>
          <w:sz w:val="22"/>
          <w:szCs w:val="22"/>
        </w:rPr>
      </w:pPr>
      <w:r>
        <w:br w:type="page"/>
      </w:r>
      <w:r w:rsidR="00AB7884" w:rsidRPr="0021531A">
        <w:rPr>
          <w:rFonts w:ascii="Trebuchet MS" w:hAnsi="Trebuchet MS"/>
          <w:b/>
          <w:sz w:val="22"/>
          <w:szCs w:val="22"/>
        </w:rPr>
        <w:lastRenderedPageBreak/>
        <w:t>FEEDBACK</w:t>
      </w:r>
    </w:p>
    <w:p w:rsidR="00AB7884" w:rsidRDefault="00AB7884" w:rsidP="0021531A">
      <w:pPr>
        <w:spacing w:before="120"/>
        <w:rPr>
          <w:sz w:val="22"/>
          <w:szCs w:val="22"/>
          <w:lang w:val="en-US"/>
        </w:rPr>
      </w:pPr>
      <w:r>
        <w:rPr>
          <w:sz w:val="22"/>
          <w:szCs w:val="22"/>
          <w:lang w:val="en-US"/>
        </w:rPr>
        <w:t>You could have included the following in your list of the main economic drivers of globalisation:</w:t>
      </w:r>
      <w:r>
        <w:rPr>
          <w:sz w:val="22"/>
          <w:szCs w:val="22"/>
          <w:lang w:val="en-US"/>
        </w:rPr>
        <w:br/>
      </w:r>
    </w:p>
    <w:p w:rsidR="00AB7884" w:rsidRDefault="00AB7884" w:rsidP="007F44B4">
      <w:pPr>
        <w:pStyle w:val="ListParagraph"/>
        <w:numPr>
          <w:ilvl w:val="0"/>
          <w:numId w:val="8"/>
        </w:numPr>
        <w:rPr>
          <w:sz w:val="22"/>
          <w:szCs w:val="22"/>
        </w:rPr>
      </w:pPr>
      <w:r>
        <w:rPr>
          <w:sz w:val="22"/>
          <w:szCs w:val="22"/>
          <w:lang w:val="en-US"/>
        </w:rPr>
        <w:t>in</w:t>
      </w:r>
      <w:r>
        <w:rPr>
          <w:color w:val="000000"/>
          <w:sz w:val="22"/>
          <w:szCs w:val="22"/>
          <w:lang w:val="en-ZA"/>
        </w:rPr>
        <w:t xml:space="preserve">ternational trade </w:t>
      </w:r>
      <w:r>
        <w:rPr>
          <w:sz w:val="22"/>
          <w:szCs w:val="22"/>
        </w:rPr>
        <w:t>and financial institutions such as the WTO, the World Bank</w:t>
      </w:r>
      <w:r>
        <w:rPr>
          <w:color w:val="000000"/>
          <w:sz w:val="22"/>
          <w:szCs w:val="22"/>
          <w:lang w:val="en-ZA"/>
        </w:rPr>
        <w:t xml:space="preserve"> and </w:t>
      </w:r>
      <w:r>
        <w:rPr>
          <w:sz w:val="22"/>
          <w:szCs w:val="22"/>
        </w:rPr>
        <w:t>the IMF</w:t>
      </w:r>
    </w:p>
    <w:p w:rsidR="00AB7884" w:rsidRDefault="00AB7884" w:rsidP="007F44B4">
      <w:pPr>
        <w:pStyle w:val="ListParagraph"/>
        <w:numPr>
          <w:ilvl w:val="0"/>
          <w:numId w:val="8"/>
        </w:numPr>
        <w:rPr>
          <w:sz w:val="22"/>
          <w:szCs w:val="22"/>
        </w:rPr>
      </w:pPr>
      <w:r>
        <w:rPr>
          <w:sz w:val="22"/>
          <w:szCs w:val="22"/>
        </w:rPr>
        <w:t xml:space="preserve">trade liberalisation, financial liberalisation, </w:t>
      </w:r>
    </w:p>
    <w:p w:rsidR="00AB7884" w:rsidRDefault="00AB7884" w:rsidP="007F44B4">
      <w:pPr>
        <w:pStyle w:val="ListParagraph"/>
        <w:numPr>
          <w:ilvl w:val="0"/>
          <w:numId w:val="8"/>
        </w:numPr>
        <w:rPr>
          <w:sz w:val="22"/>
          <w:szCs w:val="22"/>
        </w:rPr>
      </w:pPr>
      <w:r>
        <w:rPr>
          <w:sz w:val="22"/>
          <w:szCs w:val="22"/>
        </w:rPr>
        <w:t>TNCs</w:t>
      </w:r>
    </w:p>
    <w:p w:rsidR="00AB7884" w:rsidRDefault="00AB7884" w:rsidP="007F44B4">
      <w:pPr>
        <w:pStyle w:val="ListParagraph"/>
        <w:numPr>
          <w:ilvl w:val="0"/>
          <w:numId w:val="8"/>
        </w:numPr>
        <w:rPr>
          <w:sz w:val="22"/>
          <w:szCs w:val="22"/>
        </w:rPr>
      </w:pPr>
      <w:r>
        <w:rPr>
          <w:sz w:val="22"/>
          <w:szCs w:val="22"/>
        </w:rPr>
        <w:t>the globalisation of labour markets</w:t>
      </w:r>
    </w:p>
    <w:p w:rsidR="00AB7884" w:rsidRDefault="00AB7884" w:rsidP="007F44B4">
      <w:pPr>
        <w:pStyle w:val="ListParagraph"/>
        <w:numPr>
          <w:ilvl w:val="0"/>
          <w:numId w:val="8"/>
        </w:numPr>
        <w:rPr>
          <w:sz w:val="22"/>
          <w:szCs w:val="22"/>
          <w:lang w:val="en-ZA"/>
        </w:rPr>
      </w:pPr>
      <w:r>
        <w:rPr>
          <w:sz w:val="22"/>
          <w:szCs w:val="22"/>
        </w:rPr>
        <w:t xml:space="preserve">the global organisation of </w:t>
      </w:r>
      <w:r>
        <w:rPr>
          <w:sz w:val="22"/>
          <w:szCs w:val="22"/>
          <w:lang w:val="en-US"/>
        </w:rPr>
        <w:t xml:space="preserve">production and consumption </w:t>
      </w:r>
    </w:p>
    <w:p w:rsidR="00AB7884" w:rsidRDefault="00AB7884">
      <w:pPr>
        <w:pStyle w:val="ListParagraph"/>
        <w:ind w:left="360"/>
        <w:rPr>
          <w:sz w:val="22"/>
          <w:szCs w:val="22"/>
          <w:lang w:val="en-ZA"/>
        </w:rPr>
      </w:pPr>
    </w:p>
    <w:p w:rsidR="00AB7884" w:rsidRDefault="00AB7884">
      <w:pPr>
        <w:rPr>
          <w:sz w:val="22"/>
          <w:szCs w:val="22"/>
          <w:lang w:val="en-US"/>
        </w:rPr>
      </w:pPr>
      <w:r>
        <w:rPr>
          <w:sz w:val="22"/>
          <w:szCs w:val="22"/>
          <w:lang w:val="en-US"/>
        </w:rPr>
        <w:t xml:space="preserve">In addition, Rennen and Martens (2003) consider technological innovations as the ‘second primary foundation’ of contemporary globalisation. Advances made in transportation </w:t>
      </w:r>
      <w:r>
        <w:rPr>
          <w:sz w:val="22"/>
          <w:szCs w:val="22"/>
        </w:rPr>
        <w:t xml:space="preserve">and information/communication technology have enabled the faster, cheaper and easier global mobility of goods, people, knowledge, information, ideas and cultures; and have been instrumental in redefining </w:t>
      </w:r>
      <w:r>
        <w:rPr>
          <w:sz w:val="22"/>
          <w:szCs w:val="22"/>
          <w:lang w:val="en-US"/>
        </w:rPr>
        <w:t xml:space="preserve">priorities, values and relationships within and between nations, people, and the broader environment. </w:t>
      </w:r>
    </w:p>
    <w:p w:rsidR="00AB7884" w:rsidRDefault="00AB7884">
      <w:pPr>
        <w:pStyle w:val="Heading2"/>
        <w:spacing w:before="0"/>
        <w:rPr>
          <w:rFonts w:ascii="Trebuchet MS" w:hAnsi="Trebuchet MS" w:cs="Trebuchet MS"/>
          <w:sz w:val="22"/>
          <w:szCs w:val="22"/>
        </w:rPr>
      </w:pPr>
    </w:p>
    <w:p w:rsidR="00AB7884" w:rsidRDefault="00AB7884">
      <w:pPr>
        <w:pStyle w:val="CommentText"/>
      </w:pPr>
    </w:p>
    <w:p w:rsidR="00AB7884" w:rsidRDefault="00AB7884">
      <w:pPr>
        <w:pStyle w:val="Heading2"/>
        <w:spacing w:before="0"/>
        <w:rPr>
          <w:rFonts w:ascii="Trebuchet MS" w:hAnsi="Trebuchet MS" w:cs="Trebuchet MS"/>
          <w:sz w:val="24"/>
          <w:szCs w:val="24"/>
        </w:rPr>
      </w:pPr>
      <w:r>
        <w:rPr>
          <w:rFonts w:ascii="Trebuchet MS" w:hAnsi="Trebuchet MS" w:cs="Trebuchet MS"/>
          <w:sz w:val="28"/>
          <w:szCs w:val="28"/>
        </w:rPr>
        <w:t xml:space="preserve">5 </w:t>
      </w:r>
      <w:r>
        <w:rPr>
          <w:rFonts w:ascii="Trebuchet MS" w:hAnsi="Trebuchet MS" w:cs="Trebuchet MS"/>
          <w:sz w:val="28"/>
          <w:szCs w:val="28"/>
        </w:rPr>
        <w:tab/>
        <w:t>FROM GLOBALISATION TO THE SDH</w:t>
      </w:r>
    </w:p>
    <w:p w:rsidR="00AB7884" w:rsidRDefault="00717A10">
      <w:pPr>
        <w:spacing w:after="120"/>
        <w:rPr>
          <w:rFonts w:ascii="Trebuchet MS" w:hAnsi="Trebuchet MS" w:cs="Trebuchet MS"/>
          <w:b/>
          <w:bCs/>
          <w:sz w:val="18"/>
          <w:szCs w:val="18"/>
        </w:rPr>
      </w:pPr>
      <w:r w:rsidRPr="00717A10">
        <w:rPr>
          <w:color w:val="FF0000"/>
          <w:sz w:val="24"/>
          <w:szCs w:val="24"/>
        </w:rPr>
        <w:pict>
          <v:rect id="_x0000_i1040" style="width:425.2pt;height:2pt" o:hralign="center" o:hrstd="t" o:hrnoshade="t" o:hr="t" fillcolor="black" stroked="f"/>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AB7884" w:rsidRPr="0034040D" w:rsidTr="0021531A">
        <w:tc>
          <w:tcPr>
            <w:tcW w:w="8460" w:type="dxa"/>
          </w:tcPr>
          <w:p w:rsidR="00AB7884" w:rsidRPr="0034040D" w:rsidRDefault="00AB7884">
            <w:pPr>
              <w:spacing w:before="120" w:after="120" w:line="276" w:lineRule="auto"/>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 xml:space="preserve">TASK 4 </w:t>
            </w:r>
            <w:r w:rsidRPr="0034040D">
              <w:rPr>
                <w:rFonts w:ascii="Calibri" w:eastAsiaTheme="minorEastAsia" w:hAnsi="Calibri" w:cs="Calibri"/>
                <w:b/>
                <w:bCs/>
                <w:sz w:val="22"/>
                <w:szCs w:val="22"/>
              </w:rPr>
              <w:t>-</w:t>
            </w:r>
            <w:r w:rsidRPr="0034040D">
              <w:rPr>
                <w:rFonts w:ascii="Trebuchet MS" w:eastAsiaTheme="minorEastAsia" w:hAnsi="Trebuchet MS" w:cs="Trebuchet MS"/>
                <w:b/>
                <w:bCs/>
                <w:sz w:val="22"/>
                <w:szCs w:val="22"/>
              </w:rPr>
              <w:t>Identify the cluster of pathways that lead from the global marketplace to the SDH</w:t>
            </w:r>
          </w:p>
          <w:p w:rsidR="00AB7884" w:rsidRPr="0034040D" w:rsidRDefault="00AB7884">
            <w:pPr>
              <w:spacing w:before="120" w:after="120" w:line="276" w:lineRule="auto"/>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READING</w:t>
            </w:r>
          </w:p>
          <w:p w:rsidR="00AB7884" w:rsidRPr="0034040D" w:rsidRDefault="00AB7884">
            <w:pPr>
              <w:rPr>
                <w:rFonts w:ascii="Trebuchet MS" w:eastAsiaTheme="minorEastAsia" w:hAnsi="Trebuchet MS" w:cs="Trebuchet MS"/>
                <w:sz w:val="22"/>
                <w:szCs w:val="22"/>
              </w:rPr>
            </w:pPr>
            <w:r w:rsidRPr="0034040D">
              <w:rPr>
                <w:rFonts w:ascii="Trebuchet MS" w:eastAsiaTheme="minorEastAsia" w:hAnsi="Trebuchet MS" w:cs="Trebuchet MS"/>
                <w:sz w:val="22"/>
                <w:szCs w:val="22"/>
              </w:rPr>
              <w:t xml:space="preserve">Labonte, R. &amp; Schrecker, T.  (2007). Globalization and social determinants of health: The role of the global marketplace (part 2 of 3). </w:t>
            </w:r>
            <w:r w:rsidRPr="0034040D">
              <w:rPr>
                <w:rFonts w:ascii="Trebuchet MS" w:eastAsiaTheme="minorEastAsia" w:hAnsi="Trebuchet MS" w:cs="Trebuchet MS"/>
                <w:i/>
                <w:iCs/>
                <w:sz w:val="22"/>
                <w:szCs w:val="22"/>
              </w:rPr>
              <w:t xml:space="preserve">Globalization and Health </w:t>
            </w:r>
            <w:r w:rsidRPr="0034040D">
              <w:rPr>
                <w:rFonts w:ascii="Trebuchet MS" w:eastAsiaTheme="minorEastAsia" w:hAnsi="Trebuchet MS" w:cs="Trebuchet MS"/>
                <w:sz w:val="22"/>
                <w:szCs w:val="22"/>
              </w:rPr>
              <w:t>2007, 3: 6</w:t>
            </w:r>
            <w:r w:rsidR="00ED0F17">
              <w:rPr>
                <w:rFonts w:ascii="Trebuchet MS" w:eastAsiaTheme="minorEastAsia" w:hAnsi="Trebuchet MS" w:cs="Trebuchet MS"/>
                <w:sz w:val="22"/>
                <w:szCs w:val="22"/>
              </w:rPr>
              <w:t xml:space="preserve"> [17 pages]</w:t>
            </w:r>
            <w:r w:rsidRPr="0034040D">
              <w:rPr>
                <w:rFonts w:eastAsiaTheme="minorEastAsia"/>
                <w:sz w:val="22"/>
                <w:szCs w:val="22"/>
              </w:rPr>
              <w:t>.</w:t>
            </w:r>
            <w:r w:rsidRPr="0034040D">
              <w:rPr>
                <w:rFonts w:ascii="Trebuchet MS" w:eastAsiaTheme="minorEastAsia" w:hAnsi="Trebuchet MS" w:cs="Trebuchet MS"/>
                <w:sz w:val="22"/>
                <w:szCs w:val="22"/>
              </w:rPr>
              <w:br/>
            </w:r>
          </w:p>
          <w:p w:rsidR="00AB7884" w:rsidRPr="0034040D" w:rsidRDefault="00AB7884" w:rsidP="007F44B4">
            <w:pPr>
              <w:pStyle w:val="ListParagraph"/>
              <w:numPr>
                <w:ilvl w:val="0"/>
                <w:numId w:val="10"/>
              </w:numPr>
              <w:autoSpaceDE w:val="0"/>
              <w:autoSpaceDN w:val="0"/>
              <w:adjustRightInd w:val="0"/>
              <w:rPr>
                <w:rFonts w:ascii="Trebuchet MS" w:eastAsiaTheme="minorEastAsia" w:hAnsi="Trebuchet MS" w:cs="Trebuchet MS"/>
                <w:sz w:val="22"/>
                <w:szCs w:val="22"/>
                <w:lang w:val="en-ZA" w:eastAsia="en-ZA"/>
              </w:rPr>
            </w:pPr>
            <w:r w:rsidRPr="0034040D">
              <w:rPr>
                <w:rFonts w:ascii="Trebuchet MS" w:eastAsiaTheme="minorEastAsia" w:hAnsi="Trebuchet MS" w:cs="Trebuchet MS"/>
                <w:sz w:val="22"/>
                <w:szCs w:val="22"/>
                <w:lang w:val="en-US"/>
              </w:rPr>
              <w:t>Before you read the above article, read the abstract which provides a good summary of the main ideas in the article.</w:t>
            </w:r>
          </w:p>
          <w:p w:rsidR="00AB7884" w:rsidRPr="0034040D" w:rsidRDefault="00AB7884" w:rsidP="007F44B4">
            <w:pPr>
              <w:pStyle w:val="ListParagraph"/>
              <w:numPr>
                <w:ilvl w:val="0"/>
                <w:numId w:val="10"/>
              </w:numPr>
              <w:autoSpaceDE w:val="0"/>
              <w:autoSpaceDN w:val="0"/>
              <w:adjustRightInd w:val="0"/>
              <w:rPr>
                <w:rFonts w:ascii="Trebuchet MS" w:eastAsiaTheme="minorEastAsia" w:hAnsi="Trebuchet MS" w:cs="Trebuchet MS"/>
                <w:sz w:val="22"/>
                <w:szCs w:val="22"/>
                <w:lang w:val="en-ZA" w:eastAsia="en-ZA"/>
              </w:rPr>
            </w:pPr>
            <w:r w:rsidRPr="0034040D">
              <w:rPr>
                <w:rFonts w:ascii="Trebuchet MS" w:eastAsiaTheme="minorEastAsia" w:hAnsi="Trebuchet MS" w:cs="Trebuchet MS"/>
                <w:sz w:val="22"/>
                <w:szCs w:val="22"/>
                <w:lang w:val="en-US"/>
              </w:rPr>
              <w:t>List five questions about the relationship between globalisation and health that you will try to find answers to in the article. Use your questions to direct your reading.</w:t>
            </w:r>
          </w:p>
          <w:p w:rsidR="00AB7884" w:rsidRPr="0034040D" w:rsidRDefault="00AB7884" w:rsidP="007F44B4">
            <w:pPr>
              <w:pStyle w:val="ListParagraph"/>
              <w:numPr>
                <w:ilvl w:val="0"/>
                <w:numId w:val="1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rPr>
              <w:t xml:space="preserve">As you read, summarise the main points the authors make about the pathways that lead from globalisation to changes in the SDH which are relevant to health equity, in each of the following seven interacting clusters: </w:t>
            </w:r>
          </w:p>
          <w:p w:rsidR="00AB7884" w:rsidRPr="0034040D" w:rsidRDefault="00AB7884">
            <w:pPr>
              <w:autoSpaceDE w:val="0"/>
              <w:autoSpaceDN w:val="0"/>
              <w:adjustRightInd w:val="0"/>
              <w:rPr>
                <w:rFonts w:ascii="Trebuchet MS" w:eastAsiaTheme="minorEastAsia" w:hAnsi="Trebuchet MS" w:cs="Trebuchet MS"/>
                <w:sz w:val="22"/>
                <w:szCs w:val="22"/>
                <w:lang w:val="en-ZA"/>
              </w:rPr>
            </w:pP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Cluster 1: Trade liberalisation, growth and poverty reduction</w:t>
            </w: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Cluster 2: Labour markets and global reorganisation of production</w:t>
            </w: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Cluster 3: Debt crises and marketization under pressure</w:t>
            </w: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Cluster 4: Financial liberalization and financial crises</w:t>
            </w: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Cluster 5: Cities restructured by the global marketplace</w:t>
            </w: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Cluster 6: Globalisation, natural resources and environmental exposures</w:t>
            </w:r>
          </w:p>
          <w:p w:rsidR="00AB7884" w:rsidRPr="0034040D" w:rsidRDefault="00AB7884">
            <w:pPr>
              <w:autoSpaceDE w:val="0"/>
              <w:autoSpaceDN w:val="0"/>
              <w:adjustRightInd w:val="0"/>
              <w:spacing w:after="120"/>
              <w:rPr>
                <w:rFonts w:ascii="Trebuchet MS" w:eastAsiaTheme="minorEastAsia" w:hAnsi="Trebuchet MS" w:cs="Trebuchet MS"/>
                <w:b/>
                <w:bCs/>
                <w:sz w:val="22"/>
                <w:szCs w:val="22"/>
              </w:rPr>
            </w:pPr>
            <w:r w:rsidRPr="0034040D">
              <w:rPr>
                <w:rFonts w:ascii="Trebuchet MS" w:eastAsiaTheme="minorEastAsia" w:hAnsi="Trebuchet MS" w:cs="Trebuchet MS"/>
                <w:sz w:val="22"/>
                <w:szCs w:val="22"/>
                <w:lang w:val="en-ZA"/>
              </w:rPr>
              <w:t>Cluster 7: Marketisation of health systems</w:t>
            </w:r>
          </w:p>
        </w:tc>
      </w:tr>
    </w:tbl>
    <w:p w:rsidR="00AB7884" w:rsidRDefault="00AB7884">
      <w:pPr>
        <w:pStyle w:val="BodyText"/>
        <w:spacing w:before="120" w:after="120"/>
        <w:rPr>
          <w:lang w:val="en-GB" w:eastAsia="en-US"/>
        </w:rPr>
      </w:pPr>
      <w:r>
        <w:rPr>
          <w:lang w:val="en-GB" w:eastAsia="en-US"/>
        </w:rPr>
        <w:t xml:space="preserve">In order to narrow the gap between the global rich and poor, to achieve greater equity, and to improve the standard of living and well-being of the global poor, the neoliberal agenda which underpins contemporary globalisation would need to change, together </w:t>
      </w:r>
      <w:r>
        <w:rPr>
          <w:lang w:val="en-GB" w:eastAsia="en-US"/>
        </w:rPr>
        <w:lastRenderedPageBreak/>
        <w:t xml:space="preserve">with the drivers of this agenda. In Unit 5 we discuss some of the measures that have been taken to improve health and equity, at the local, regional and global levels. </w:t>
      </w:r>
    </w:p>
    <w:p w:rsidR="00AB7884" w:rsidRDefault="00AB7884">
      <w:pPr>
        <w:spacing w:before="120" w:after="120"/>
        <w:rPr>
          <w:rFonts w:ascii="Times New Roman" w:hAnsi="Times New Roman" w:cs="Times New Roman"/>
          <w:sz w:val="22"/>
          <w:szCs w:val="22"/>
        </w:rPr>
      </w:pPr>
      <w:r>
        <w:rPr>
          <w:sz w:val="22"/>
          <w:szCs w:val="22"/>
        </w:rPr>
        <w:t>In the meantime, it is worth keeping in mind the following questions as you work through the rest of the units:</w:t>
      </w:r>
      <w:r>
        <w:rPr>
          <w:rFonts w:ascii="Times New Roman" w:hAnsi="Times New Roman" w:cs="Times New Roman"/>
          <w:sz w:val="22"/>
          <w:szCs w:val="22"/>
        </w:rPr>
        <w:t xml:space="preserve"> </w:t>
      </w:r>
    </w:p>
    <w:p w:rsidR="00AB7884" w:rsidRDefault="00AB7884" w:rsidP="007F44B4">
      <w:pPr>
        <w:numPr>
          <w:ilvl w:val="0"/>
          <w:numId w:val="14"/>
        </w:numPr>
        <w:autoSpaceDE w:val="0"/>
        <w:autoSpaceDN w:val="0"/>
        <w:adjustRightInd w:val="0"/>
        <w:ind w:left="360"/>
        <w:rPr>
          <w:sz w:val="22"/>
          <w:szCs w:val="22"/>
          <w:lang w:val="en-ZA" w:eastAsia="nb-NO"/>
        </w:rPr>
      </w:pPr>
      <w:r>
        <w:rPr>
          <w:sz w:val="22"/>
          <w:szCs w:val="22"/>
          <w:lang w:val="en-ZA" w:eastAsia="nb-NO"/>
        </w:rPr>
        <w:t>How can we all get the most out of the benefits and opportunities that globalisation presents us with?</w:t>
      </w:r>
    </w:p>
    <w:p w:rsidR="00AB7884" w:rsidRDefault="00AB7884" w:rsidP="007F44B4">
      <w:pPr>
        <w:numPr>
          <w:ilvl w:val="0"/>
          <w:numId w:val="14"/>
        </w:numPr>
        <w:autoSpaceDE w:val="0"/>
        <w:autoSpaceDN w:val="0"/>
        <w:adjustRightInd w:val="0"/>
        <w:ind w:left="360"/>
        <w:rPr>
          <w:sz w:val="22"/>
          <w:szCs w:val="22"/>
          <w:lang w:val="en-ZA" w:eastAsia="nb-NO"/>
        </w:rPr>
      </w:pPr>
      <w:r>
        <w:rPr>
          <w:sz w:val="22"/>
          <w:szCs w:val="22"/>
          <w:lang w:val="en-ZA" w:eastAsia="nb-NO"/>
        </w:rPr>
        <w:t xml:space="preserve">How can we minimise the risks and share the costs of globalisation in a way that is fair to all? </w:t>
      </w:r>
    </w:p>
    <w:p w:rsidR="00AB7884" w:rsidRDefault="00AB7884">
      <w:pPr>
        <w:autoSpaceDE w:val="0"/>
        <w:autoSpaceDN w:val="0"/>
        <w:adjustRightInd w:val="0"/>
        <w:rPr>
          <w:sz w:val="22"/>
          <w:szCs w:val="22"/>
          <w:lang w:val="en-ZA" w:eastAsia="nb-NO"/>
        </w:rPr>
      </w:pPr>
    </w:p>
    <w:p w:rsidR="00AB7884" w:rsidRDefault="00AB7884">
      <w:pPr>
        <w:autoSpaceDE w:val="0"/>
        <w:autoSpaceDN w:val="0"/>
        <w:adjustRightInd w:val="0"/>
        <w:rPr>
          <w:sz w:val="22"/>
          <w:szCs w:val="22"/>
          <w:lang w:val="en-ZA" w:eastAsia="nb-NO"/>
        </w:rPr>
      </w:pPr>
    </w:p>
    <w:p w:rsidR="00AB7884" w:rsidRDefault="00AB7884">
      <w:pPr>
        <w:pStyle w:val="Heading2"/>
        <w:spacing w:before="0"/>
        <w:rPr>
          <w:rFonts w:ascii="Trebuchet MS" w:hAnsi="Trebuchet MS" w:cs="Trebuchet MS"/>
          <w:color w:val="FF0000"/>
          <w:sz w:val="24"/>
          <w:szCs w:val="24"/>
        </w:rPr>
      </w:pPr>
      <w:r>
        <w:rPr>
          <w:rFonts w:ascii="Trebuchet MS" w:hAnsi="Trebuchet MS" w:cs="Trebuchet MS"/>
          <w:sz w:val="28"/>
          <w:szCs w:val="28"/>
        </w:rPr>
        <w:t>6</w:t>
      </w:r>
      <w:r>
        <w:rPr>
          <w:rFonts w:ascii="Trebuchet MS" w:hAnsi="Trebuchet MS" w:cs="Trebuchet MS"/>
          <w:sz w:val="28"/>
          <w:szCs w:val="28"/>
        </w:rPr>
        <w:tab/>
        <w:t>SESSION SUMMARY</w:t>
      </w:r>
    </w:p>
    <w:p w:rsidR="00AB7884" w:rsidRDefault="00717A10">
      <w:pPr>
        <w:rPr>
          <w:rFonts w:ascii="Trebuchet MS" w:hAnsi="Trebuchet MS" w:cs="Trebuchet MS"/>
          <w:b/>
          <w:bCs/>
          <w:sz w:val="18"/>
          <w:szCs w:val="18"/>
        </w:rPr>
      </w:pPr>
      <w:r w:rsidRPr="00717A10">
        <w:rPr>
          <w:color w:val="FF0000"/>
          <w:sz w:val="24"/>
          <w:szCs w:val="24"/>
        </w:rPr>
        <w:pict>
          <v:rect id="_x0000_i1041" style="width:425.2pt;height:2pt" o:hralign="center" o:hrstd="t" o:hrnoshade="t" o:hr="t" fillcolor="black" stroked="f"/>
        </w:pict>
      </w:r>
    </w:p>
    <w:p w:rsidR="00AB7884" w:rsidRDefault="00AB7884" w:rsidP="0021531A">
      <w:pPr>
        <w:spacing w:before="120"/>
        <w:rPr>
          <w:sz w:val="22"/>
          <w:szCs w:val="22"/>
        </w:rPr>
      </w:pPr>
      <w:r>
        <w:rPr>
          <w:sz w:val="22"/>
          <w:szCs w:val="22"/>
        </w:rPr>
        <w:t xml:space="preserve">In this session, we have looked at the development of the dominant form of globalisation since post-World War II and at the global bodies, structures and processes that are driving the economic globalisation agenda. We have discussed how global institutions have imposed policies and so-called ‘reform’ measures on poorer countries, and how these measures have mostly been drivers of poverty, environmental degradation and ill-health. </w:t>
      </w:r>
    </w:p>
    <w:p w:rsidR="00AB7884" w:rsidRDefault="00AB7884">
      <w:pPr>
        <w:rPr>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AB7884" w:rsidRPr="0034040D">
        <w:tc>
          <w:tcPr>
            <w:tcW w:w="8460" w:type="dxa"/>
            <w:shd w:val="clear" w:color="auto" w:fill="E0E0E0"/>
          </w:tcPr>
          <w:p w:rsidR="00AB7884" w:rsidRPr="0034040D" w:rsidRDefault="00AB7884" w:rsidP="007F44B4">
            <w:pPr>
              <w:numPr>
                <w:ilvl w:val="0"/>
                <w:numId w:val="9"/>
              </w:numPr>
              <w:spacing w:before="120" w:line="276" w:lineRule="auto"/>
              <w:ind w:left="357" w:hanging="357"/>
              <w:rPr>
                <w:rFonts w:eastAsiaTheme="minorEastAsia"/>
                <w:sz w:val="22"/>
                <w:szCs w:val="22"/>
                <w:lang w:val="en-ZA" w:eastAsia="en-ZA"/>
              </w:rPr>
            </w:pPr>
            <w:r w:rsidRPr="0034040D">
              <w:rPr>
                <w:rFonts w:eastAsiaTheme="minorEastAsia"/>
                <w:b/>
                <w:bCs/>
                <w:sz w:val="22"/>
                <w:szCs w:val="22"/>
              </w:rPr>
              <w:t>Critically reflect on the following questions:</w:t>
            </w:r>
            <w:r w:rsidRPr="0034040D">
              <w:rPr>
                <w:rFonts w:eastAsiaTheme="minorEastAsia"/>
                <w:b/>
                <w:bCs/>
                <w:sz w:val="22"/>
                <w:szCs w:val="22"/>
                <w:lang w:val="en-ZA" w:eastAsia="nb-NO"/>
              </w:rPr>
              <w:br/>
            </w:r>
            <w:r w:rsidRPr="0034040D">
              <w:rPr>
                <w:rFonts w:eastAsiaTheme="minorEastAsia"/>
                <w:sz w:val="22"/>
                <w:szCs w:val="22"/>
                <w:lang w:val="en-ZA" w:eastAsia="en-ZA"/>
              </w:rPr>
              <w:t>In what ways has your country and/or local community benefited from globalisation? (Think about the economic, political, environmental, technological and socio-cultural domains.)</w:t>
            </w:r>
          </w:p>
          <w:p w:rsidR="00AB7884" w:rsidRPr="0034040D" w:rsidRDefault="00AB7884" w:rsidP="007F44B4">
            <w:pPr>
              <w:pStyle w:val="ListParagraph"/>
              <w:numPr>
                <w:ilvl w:val="0"/>
                <w:numId w:val="9"/>
              </w:numPr>
              <w:spacing w:before="100" w:beforeAutospacing="1" w:after="200" w:afterAutospacing="1" w:line="276" w:lineRule="auto"/>
              <w:ind w:left="360"/>
              <w:rPr>
                <w:rFonts w:eastAsiaTheme="minorEastAsia"/>
                <w:sz w:val="22"/>
                <w:szCs w:val="22"/>
              </w:rPr>
            </w:pPr>
            <w:r w:rsidRPr="0034040D">
              <w:rPr>
                <w:rFonts w:eastAsiaTheme="minorEastAsia"/>
                <w:sz w:val="22"/>
                <w:szCs w:val="22"/>
                <w:lang w:val="en-ZA" w:eastAsia="en-ZA"/>
              </w:rPr>
              <w:t xml:space="preserve">In what ways has your country not benefitted? What risks have there been? </w:t>
            </w:r>
          </w:p>
          <w:p w:rsidR="00AB7884" w:rsidRPr="0034040D" w:rsidRDefault="00AB7884" w:rsidP="007F44B4">
            <w:pPr>
              <w:pStyle w:val="ListParagraph"/>
              <w:numPr>
                <w:ilvl w:val="0"/>
                <w:numId w:val="9"/>
              </w:numPr>
              <w:spacing w:before="100" w:beforeAutospacing="1" w:after="200" w:afterAutospacing="1" w:line="276" w:lineRule="auto"/>
              <w:ind w:left="360"/>
              <w:rPr>
                <w:rFonts w:eastAsiaTheme="minorEastAsia"/>
                <w:sz w:val="22"/>
                <w:szCs w:val="22"/>
                <w:lang w:val="en-US"/>
              </w:rPr>
            </w:pPr>
            <w:r w:rsidRPr="0034040D">
              <w:rPr>
                <w:rFonts w:eastAsiaTheme="minorEastAsia"/>
                <w:sz w:val="22"/>
                <w:szCs w:val="22"/>
                <w:lang w:val="en-ZA" w:eastAsia="en-ZA"/>
              </w:rPr>
              <w:t xml:space="preserve">In what ways have you personally benefited? What opportunities have you had because of globalisation? </w:t>
            </w:r>
          </w:p>
          <w:p w:rsidR="00AB7884" w:rsidRPr="0034040D" w:rsidRDefault="00AB7884" w:rsidP="007F44B4">
            <w:pPr>
              <w:pStyle w:val="ListParagraph"/>
              <w:numPr>
                <w:ilvl w:val="0"/>
                <w:numId w:val="9"/>
              </w:numPr>
              <w:spacing w:line="276" w:lineRule="auto"/>
              <w:ind w:left="357" w:hanging="357"/>
              <w:rPr>
                <w:rFonts w:ascii="Times New Roman" w:eastAsiaTheme="minorEastAsia" w:hAnsi="Times New Roman" w:cs="Times New Roman"/>
                <w:sz w:val="22"/>
                <w:szCs w:val="22"/>
                <w:lang w:val="en-US"/>
              </w:rPr>
            </w:pPr>
            <w:r w:rsidRPr="0034040D">
              <w:rPr>
                <w:rFonts w:eastAsiaTheme="minorEastAsia"/>
                <w:sz w:val="22"/>
                <w:szCs w:val="22"/>
                <w:lang w:val="en-ZA" w:eastAsia="en-ZA"/>
              </w:rPr>
              <w:t>In what ways have you not benefitted?</w:t>
            </w:r>
          </w:p>
          <w:p w:rsidR="00AB7884" w:rsidRPr="0034040D" w:rsidRDefault="00AB7884">
            <w:pPr>
              <w:rPr>
                <w:rFonts w:eastAsiaTheme="minorEastAsia"/>
                <w:sz w:val="22"/>
                <w:szCs w:val="22"/>
              </w:rPr>
            </w:pPr>
          </w:p>
        </w:tc>
      </w:tr>
    </w:tbl>
    <w:p w:rsidR="00AB7884" w:rsidRDefault="00AB7884">
      <w:pPr>
        <w:rPr>
          <w:sz w:val="22"/>
          <w:szCs w:val="22"/>
        </w:rPr>
      </w:pPr>
    </w:p>
    <w:p w:rsidR="00AB7884" w:rsidRDefault="00AB7884">
      <w:pPr>
        <w:pStyle w:val="Heading2"/>
        <w:spacing w:before="0"/>
        <w:rPr>
          <w:rFonts w:ascii="Trebuchet MS" w:hAnsi="Trebuchet MS" w:cs="Trebuchet MS"/>
          <w:sz w:val="22"/>
          <w:szCs w:val="22"/>
        </w:rPr>
      </w:pPr>
    </w:p>
    <w:p w:rsidR="00AB7884" w:rsidRDefault="00AB7884">
      <w:pPr>
        <w:pStyle w:val="Heading2"/>
        <w:spacing w:before="0"/>
        <w:rPr>
          <w:rFonts w:ascii="Trebuchet MS" w:hAnsi="Trebuchet MS" w:cs="Trebuchet MS"/>
          <w:color w:val="FF0000"/>
          <w:sz w:val="24"/>
          <w:szCs w:val="24"/>
        </w:rPr>
      </w:pPr>
      <w:r>
        <w:rPr>
          <w:rFonts w:ascii="Trebuchet MS" w:hAnsi="Trebuchet MS" w:cs="Trebuchet MS"/>
          <w:sz w:val="28"/>
          <w:szCs w:val="28"/>
        </w:rPr>
        <w:t>7</w:t>
      </w:r>
      <w:r>
        <w:rPr>
          <w:rFonts w:ascii="Trebuchet MS" w:hAnsi="Trebuchet MS" w:cs="Trebuchet MS"/>
          <w:sz w:val="28"/>
          <w:szCs w:val="28"/>
        </w:rPr>
        <w:tab/>
        <w:t>REFERENCES</w:t>
      </w:r>
      <w:r>
        <w:rPr>
          <w:rFonts w:ascii="Trebuchet MS" w:hAnsi="Trebuchet MS" w:cs="Trebuchet MS"/>
          <w:b w:val="0"/>
          <w:bCs w:val="0"/>
          <w:sz w:val="28"/>
          <w:szCs w:val="28"/>
        </w:rPr>
        <w:t xml:space="preserve"> </w:t>
      </w:r>
      <w:r>
        <w:rPr>
          <w:rFonts w:ascii="Trebuchet MS" w:hAnsi="Trebuchet MS" w:cs="Trebuchet MS"/>
          <w:sz w:val="28"/>
          <w:szCs w:val="28"/>
        </w:rPr>
        <w:t>AND FURTHER READING</w:t>
      </w:r>
    </w:p>
    <w:p w:rsidR="00AB7884" w:rsidRDefault="00717A10">
      <w:pPr>
        <w:spacing w:after="120"/>
        <w:rPr>
          <w:color w:val="FF0000"/>
          <w:sz w:val="24"/>
          <w:szCs w:val="24"/>
        </w:rPr>
      </w:pPr>
      <w:r w:rsidRPr="00717A10">
        <w:rPr>
          <w:color w:val="FF0000"/>
          <w:sz w:val="24"/>
          <w:szCs w:val="24"/>
        </w:rPr>
        <w:pict>
          <v:rect id="_x0000_i1042" style="width:425.2pt;height:2pt" o:hralign="center" o:hrstd="t" o:hrnoshade="t" o:hr="t" fillcolor="black" stroked="f"/>
        </w:pict>
      </w:r>
    </w:p>
    <w:p w:rsidR="00AB7884" w:rsidRPr="005A5796" w:rsidRDefault="00AB7884">
      <w:pPr>
        <w:spacing w:after="120"/>
        <w:rPr>
          <w:sz w:val="22"/>
          <w:szCs w:val="22"/>
          <w:lang w:val="en-ZA" w:eastAsia="en-ZA"/>
        </w:rPr>
      </w:pPr>
      <w:r w:rsidRPr="005A5796">
        <w:rPr>
          <w:sz w:val="22"/>
          <w:szCs w:val="22"/>
          <w:lang w:val="en-ZA" w:eastAsia="en-ZA"/>
        </w:rPr>
        <w:t xml:space="preserve">Food and Agricultural Organisation (FAO) (2011). </w:t>
      </w:r>
      <w:r w:rsidRPr="005A5796">
        <w:rPr>
          <w:i/>
          <w:iCs/>
          <w:sz w:val="22"/>
          <w:szCs w:val="22"/>
        </w:rPr>
        <w:t>World Food Situation</w:t>
      </w:r>
      <w:r w:rsidRPr="005A5796">
        <w:rPr>
          <w:sz w:val="22"/>
          <w:szCs w:val="22"/>
        </w:rPr>
        <w:t xml:space="preserve">. [Online], Available: </w:t>
      </w:r>
      <w:hyperlink r:id="rId22" w:history="1">
        <w:r w:rsidRPr="005A5796">
          <w:rPr>
            <w:rStyle w:val="Hyperlink"/>
            <w:rFonts w:ascii="Arial" w:hAnsi="Arial" w:cs="Arial"/>
            <w:sz w:val="22"/>
            <w:szCs w:val="22"/>
            <w:u w:val="none"/>
            <w:lang w:val="en-ZA" w:eastAsia="en-ZA"/>
          </w:rPr>
          <w:t>http://www.fao.org/worldfoodsituation/wfs-home/foodpricesindex/en/</w:t>
        </w:r>
      </w:hyperlink>
      <w:r w:rsidRPr="005A5796">
        <w:rPr>
          <w:sz w:val="22"/>
          <w:szCs w:val="22"/>
          <w:lang w:val="en-ZA" w:eastAsia="en-ZA"/>
        </w:rPr>
        <w:t xml:space="preserve"> [Downloaded: 02/03/2012].</w:t>
      </w:r>
    </w:p>
    <w:p w:rsidR="00AB7884" w:rsidRPr="005A5796" w:rsidRDefault="00AB7884">
      <w:pPr>
        <w:spacing w:after="120"/>
        <w:rPr>
          <w:sz w:val="22"/>
          <w:szCs w:val="22"/>
          <w:lang w:val="en-ZA" w:eastAsia="en-ZA"/>
        </w:rPr>
      </w:pPr>
      <w:r w:rsidRPr="005A5796">
        <w:rPr>
          <w:sz w:val="22"/>
          <w:szCs w:val="22"/>
        </w:rPr>
        <w:t xml:space="preserve">Griffin, K. (1999). Globalization and the Shape of Things to Come. </w:t>
      </w:r>
      <w:r w:rsidRPr="005A5796">
        <w:rPr>
          <w:rStyle w:val="Emphasis"/>
          <w:rFonts w:ascii="Arial" w:hAnsi="Arial" w:cs="Arial"/>
          <w:sz w:val="22"/>
          <w:szCs w:val="22"/>
        </w:rPr>
        <w:t>Macalester International</w:t>
      </w:r>
      <w:r w:rsidRPr="005A5796">
        <w:rPr>
          <w:sz w:val="22"/>
          <w:szCs w:val="22"/>
        </w:rPr>
        <w:t xml:space="preserve">. Vol. 7, Article 7. [Online]. Available: </w:t>
      </w:r>
      <w:hyperlink r:id="rId23" w:history="1">
        <w:r w:rsidRPr="005A5796">
          <w:rPr>
            <w:rStyle w:val="Hyperlink"/>
            <w:rFonts w:ascii="Arial" w:hAnsi="Arial" w:cs="Arial"/>
            <w:sz w:val="22"/>
            <w:szCs w:val="22"/>
            <w:u w:val="none"/>
          </w:rPr>
          <w:t>http://digitalcommons.macalester.edu/macintl/vol7/iss1/7</w:t>
        </w:r>
      </w:hyperlink>
      <w:r w:rsidRPr="005A5796">
        <w:rPr>
          <w:sz w:val="22"/>
          <w:szCs w:val="22"/>
        </w:rPr>
        <w:t xml:space="preserve"> </w:t>
      </w:r>
      <w:r w:rsidRPr="005A5796">
        <w:rPr>
          <w:sz w:val="22"/>
          <w:szCs w:val="22"/>
          <w:lang w:val="en-ZA" w:eastAsia="en-ZA"/>
        </w:rPr>
        <w:t>[Downloaded: 02/07/2011].</w:t>
      </w:r>
    </w:p>
    <w:p w:rsidR="00AB7884" w:rsidRPr="005A5796" w:rsidRDefault="00AB7884">
      <w:pPr>
        <w:spacing w:after="120"/>
        <w:rPr>
          <w:sz w:val="22"/>
          <w:szCs w:val="22"/>
          <w:lang w:val="en-ZA" w:eastAsia="en-ZA"/>
        </w:rPr>
      </w:pPr>
      <w:r w:rsidRPr="005A5796">
        <w:rPr>
          <w:sz w:val="22"/>
          <w:szCs w:val="22"/>
          <w:lang w:eastAsia="en-ZA"/>
        </w:rPr>
        <w:t>Kwa, A. (2003).</w:t>
      </w:r>
      <w:r w:rsidRPr="005A5796">
        <w:rPr>
          <w:i/>
          <w:iCs/>
          <w:sz w:val="22"/>
          <w:szCs w:val="22"/>
          <w:lang w:eastAsia="en-ZA"/>
        </w:rPr>
        <w:t xml:space="preserve"> </w:t>
      </w:r>
      <w:hyperlink r:id="rId24" w:history="1">
        <w:r w:rsidRPr="005A5796">
          <w:rPr>
            <w:i/>
            <w:iCs/>
            <w:sz w:val="22"/>
            <w:szCs w:val="22"/>
            <w:lang w:eastAsia="en-ZA"/>
          </w:rPr>
          <w:t>Cancun and the Battle for Developing Countries' Markets: Another Form of Warfare</w:t>
        </w:r>
      </w:hyperlink>
      <w:r w:rsidRPr="005A5796">
        <w:rPr>
          <w:i/>
          <w:iCs/>
          <w:sz w:val="22"/>
          <w:szCs w:val="22"/>
          <w:lang w:eastAsia="en-ZA"/>
        </w:rPr>
        <w:t xml:space="preserve">, Focus on the Global South, </w:t>
      </w:r>
      <w:r w:rsidRPr="005A5796">
        <w:rPr>
          <w:sz w:val="22"/>
          <w:szCs w:val="22"/>
        </w:rPr>
        <w:t xml:space="preserve">In Shah, A. (2003). WTO Meeting in Cancun, Mexico, 2003. [Online], Available: </w:t>
      </w:r>
      <w:hyperlink r:id="rId25" w:history="1">
        <w:r w:rsidRPr="005A5796">
          <w:rPr>
            <w:rStyle w:val="Hyperlink"/>
            <w:rFonts w:ascii="Arial" w:hAnsi="Arial" w:cs="Arial"/>
            <w:sz w:val="22"/>
            <w:szCs w:val="22"/>
            <w:u w:val="none"/>
          </w:rPr>
          <w:t>http://www.globalissues.org/article/438/wto-meeting-in-cancun-mexico-2003</w:t>
        </w:r>
      </w:hyperlink>
      <w:r w:rsidRPr="005A5796">
        <w:rPr>
          <w:sz w:val="22"/>
          <w:szCs w:val="22"/>
        </w:rPr>
        <w:t xml:space="preserve"> </w:t>
      </w:r>
      <w:r w:rsidRPr="005A5796">
        <w:rPr>
          <w:sz w:val="22"/>
          <w:szCs w:val="22"/>
          <w:lang w:val="en-ZA" w:eastAsia="en-ZA"/>
        </w:rPr>
        <w:t>[Downloaded: 02/02/2012].</w:t>
      </w:r>
    </w:p>
    <w:p w:rsidR="00AB7884" w:rsidRPr="005A5796" w:rsidRDefault="00AB7884">
      <w:pPr>
        <w:spacing w:after="120"/>
        <w:rPr>
          <w:sz w:val="22"/>
          <w:szCs w:val="22"/>
          <w:lang w:val="en-ZA"/>
        </w:rPr>
      </w:pPr>
      <w:r w:rsidRPr="005A5796">
        <w:rPr>
          <w:sz w:val="22"/>
          <w:szCs w:val="22"/>
        </w:rPr>
        <w:t>Paulo, S.</w:t>
      </w:r>
      <w:r w:rsidRPr="005A5796">
        <w:rPr>
          <w:sz w:val="22"/>
          <w:szCs w:val="22"/>
          <w:lang w:val="en-ZA"/>
        </w:rPr>
        <w:t xml:space="preserve"> (2011). </w:t>
      </w:r>
      <w:r w:rsidRPr="005A5796">
        <w:rPr>
          <w:i/>
          <w:iCs/>
          <w:sz w:val="22"/>
          <w:szCs w:val="22"/>
          <w:lang w:val="en-ZA"/>
        </w:rPr>
        <w:t>Europe and the global financial crisis: Taking stock of the EU’s policy response</w:t>
      </w:r>
      <w:r w:rsidRPr="005A5796">
        <w:rPr>
          <w:sz w:val="22"/>
          <w:szCs w:val="22"/>
          <w:lang w:val="en-ZA"/>
        </w:rPr>
        <w:t>, Foundation Robert Schuman.</w:t>
      </w:r>
    </w:p>
    <w:p w:rsidR="00AB7884" w:rsidRPr="005A5796" w:rsidRDefault="00AB7884">
      <w:pPr>
        <w:spacing w:after="120"/>
        <w:rPr>
          <w:sz w:val="22"/>
          <w:szCs w:val="22"/>
          <w:lang w:val="en-US"/>
        </w:rPr>
      </w:pPr>
      <w:r w:rsidRPr="005A5796">
        <w:rPr>
          <w:sz w:val="22"/>
          <w:szCs w:val="22"/>
          <w:lang w:val="en-US"/>
        </w:rPr>
        <w:t>People’s Health Movement, Medact, Global Equity Gauge Alliance.</w:t>
      </w:r>
      <w:r w:rsidRPr="005A5796">
        <w:rPr>
          <w:i/>
          <w:iCs/>
          <w:sz w:val="22"/>
          <w:szCs w:val="22"/>
          <w:lang w:val="en-US"/>
        </w:rPr>
        <w:t xml:space="preserve"> (2005). Global Health Watch 2005-2006: An alternative world health report. </w:t>
      </w:r>
      <w:r w:rsidRPr="005A5796">
        <w:rPr>
          <w:sz w:val="22"/>
          <w:szCs w:val="22"/>
          <w:lang w:val="en-US"/>
        </w:rPr>
        <w:t>UNISA Press, Zed Books.</w:t>
      </w:r>
    </w:p>
    <w:p w:rsidR="00AB7884" w:rsidRPr="005A5796" w:rsidRDefault="00AB7884">
      <w:pPr>
        <w:spacing w:after="120"/>
        <w:rPr>
          <w:sz w:val="22"/>
          <w:szCs w:val="22"/>
        </w:rPr>
      </w:pPr>
      <w:r w:rsidRPr="005A5796">
        <w:rPr>
          <w:sz w:val="22"/>
          <w:szCs w:val="22"/>
        </w:rPr>
        <w:lastRenderedPageBreak/>
        <w:t xml:space="preserve">Schotte, J.J. (2000). </w:t>
      </w:r>
      <w:r w:rsidRPr="005A5796">
        <w:rPr>
          <w:i/>
          <w:iCs/>
          <w:sz w:val="22"/>
          <w:szCs w:val="22"/>
        </w:rPr>
        <w:t xml:space="preserve">The WTO after Seattle. </w:t>
      </w:r>
      <w:r w:rsidRPr="005A5796">
        <w:rPr>
          <w:sz w:val="22"/>
          <w:szCs w:val="22"/>
        </w:rPr>
        <w:t xml:space="preserve">Institute for International Economics, Washington, D.C. </w:t>
      </w:r>
    </w:p>
    <w:p w:rsidR="00AB7884" w:rsidRPr="005A5796" w:rsidRDefault="00AB7884">
      <w:pPr>
        <w:spacing w:after="120"/>
        <w:rPr>
          <w:sz w:val="22"/>
          <w:szCs w:val="22"/>
          <w:lang w:val="en-ZA" w:eastAsia="en-ZA"/>
        </w:rPr>
      </w:pPr>
      <w:r w:rsidRPr="005A5796">
        <w:rPr>
          <w:sz w:val="22"/>
          <w:szCs w:val="22"/>
        </w:rPr>
        <w:t xml:space="preserve">Now, Science and Health (2005). </w:t>
      </w:r>
      <w:r w:rsidRPr="005A5796">
        <w:rPr>
          <w:i/>
          <w:iCs/>
          <w:sz w:val="22"/>
          <w:szCs w:val="22"/>
        </w:rPr>
        <w:t>Now</w:t>
      </w:r>
      <w:r w:rsidRPr="005A5796">
        <w:rPr>
          <w:sz w:val="22"/>
          <w:szCs w:val="22"/>
        </w:rPr>
        <w:t xml:space="preserve">. [Online], Available:  </w:t>
      </w:r>
      <w:hyperlink r:id="rId26" w:history="1">
        <w:r w:rsidRPr="005A5796">
          <w:rPr>
            <w:rStyle w:val="Hyperlink"/>
            <w:rFonts w:ascii="Arial" w:hAnsi="Arial" w:cs="Arial"/>
            <w:sz w:val="22"/>
            <w:szCs w:val="22"/>
            <w:u w:val="none"/>
          </w:rPr>
          <w:t>http://www.pbs.org/now/science/climatechange.html</w:t>
        </w:r>
      </w:hyperlink>
      <w:r w:rsidRPr="005A5796">
        <w:rPr>
          <w:sz w:val="22"/>
          <w:szCs w:val="22"/>
        </w:rPr>
        <w:t xml:space="preserve"> </w:t>
      </w:r>
      <w:r w:rsidRPr="005A5796">
        <w:rPr>
          <w:sz w:val="22"/>
          <w:szCs w:val="22"/>
          <w:lang w:val="en-ZA" w:eastAsia="en-ZA"/>
        </w:rPr>
        <w:t>[Downloaded: 02/03/2011].</w:t>
      </w:r>
    </w:p>
    <w:p w:rsidR="00AB7884" w:rsidRPr="005A5796" w:rsidRDefault="00AB7884">
      <w:pPr>
        <w:spacing w:after="120"/>
        <w:rPr>
          <w:sz w:val="22"/>
          <w:szCs w:val="22"/>
          <w:lang w:val="en-ZA" w:eastAsia="en-ZA"/>
        </w:rPr>
      </w:pPr>
      <w:r w:rsidRPr="005A5796">
        <w:rPr>
          <w:sz w:val="22"/>
          <w:szCs w:val="22"/>
        </w:rPr>
        <w:t xml:space="preserve">Shah, A. (2003). WTO Meeting in Cancun, Mexico, 2003. [Online], Available: </w:t>
      </w:r>
      <w:hyperlink r:id="rId27" w:history="1">
        <w:r w:rsidRPr="005A5796">
          <w:rPr>
            <w:rStyle w:val="Hyperlink"/>
            <w:rFonts w:ascii="Arial" w:hAnsi="Arial" w:cs="Arial"/>
            <w:sz w:val="22"/>
            <w:szCs w:val="22"/>
            <w:u w:val="none"/>
          </w:rPr>
          <w:t>http://www.globalissues.org/article/438/wto-meeting-in-cancun-mexico-2003</w:t>
        </w:r>
      </w:hyperlink>
      <w:r w:rsidRPr="005A5796">
        <w:rPr>
          <w:sz w:val="22"/>
          <w:szCs w:val="22"/>
        </w:rPr>
        <w:t xml:space="preserve"> </w:t>
      </w:r>
      <w:r w:rsidRPr="005A5796">
        <w:rPr>
          <w:sz w:val="22"/>
          <w:szCs w:val="22"/>
          <w:lang w:val="en-ZA" w:eastAsia="en-ZA"/>
        </w:rPr>
        <w:t>[Downloaded: 02/10/2011].</w:t>
      </w:r>
    </w:p>
    <w:p w:rsidR="00AB7884" w:rsidRPr="005A5796" w:rsidRDefault="00AB7884">
      <w:pPr>
        <w:spacing w:after="120"/>
        <w:rPr>
          <w:sz w:val="22"/>
          <w:szCs w:val="22"/>
        </w:rPr>
      </w:pPr>
      <w:r w:rsidRPr="005A5796">
        <w:rPr>
          <w:sz w:val="22"/>
          <w:szCs w:val="22"/>
        </w:rPr>
        <w:t xml:space="preserve">Werner, D. &amp; Sanders, D. (1997). Questioning the Solution: The Politics of Primary Health Care and Child Survival. </w:t>
      </w:r>
      <w:r w:rsidRPr="005A5796">
        <w:rPr>
          <w:i/>
          <w:iCs/>
          <w:sz w:val="22"/>
          <w:szCs w:val="22"/>
        </w:rPr>
        <w:t>HealthWrights.</w:t>
      </w:r>
      <w:r w:rsidRPr="005A5796">
        <w:rPr>
          <w:sz w:val="22"/>
          <w:szCs w:val="22"/>
        </w:rPr>
        <w:t xml:space="preserve"> Palo Alto CA. </w:t>
      </w:r>
    </w:p>
    <w:p w:rsidR="00AB7884" w:rsidRPr="005A5796" w:rsidRDefault="00AB7884">
      <w:pPr>
        <w:spacing w:after="120"/>
        <w:rPr>
          <w:sz w:val="22"/>
          <w:szCs w:val="22"/>
        </w:rPr>
      </w:pPr>
      <w:r w:rsidRPr="005A5796">
        <w:rPr>
          <w:sz w:val="22"/>
          <w:szCs w:val="22"/>
          <w:lang w:val="en-ZA" w:eastAsia="en-ZA"/>
        </w:rPr>
        <w:t xml:space="preserve">World Bank. (2011). </w:t>
      </w:r>
      <w:r w:rsidRPr="005A5796">
        <w:rPr>
          <w:i/>
          <w:iCs/>
          <w:sz w:val="22"/>
          <w:szCs w:val="22"/>
          <w:lang w:val="en-ZA" w:eastAsia="en-ZA"/>
        </w:rPr>
        <w:t>Food Price Watch</w:t>
      </w:r>
      <w:r w:rsidRPr="005A5796">
        <w:rPr>
          <w:sz w:val="22"/>
          <w:szCs w:val="22"/>
          <w:lang w:val="en-ZA" w:eastAsia="en-ZA"/>
        </w:rPr>
        <w:t xml:space="preserve">. [Online], </w:t>
      </w:r>
      <w:r w:rsidRPr="005A5796">
        <w:rPr>
          <w:sz w:val="22"/>
          <w:szCs w:val="22"/>
        </w:rPr>
        <w:t xml:space="preserve">Available: </w:t>
      </w:r>
      <w:hyperlink r:id="rId28" w:history="1">
        <w:r w:rsidRPr="005A5796">
          <w:rPr>
            <w:rStyle w:val="Hyperlink"/>
            <w:rFonts w:ascii="Arial" w:hAnsi="Arial" w:cs="Arial"/>
            <w:sz w:val="22"/>
            <w:szCs w:val="22"/>
            <w:u w:val="none"/>
          </w:rPr>
          <w:t>http://www.worldbank.org/foodcrisis/foodpricewatch/april_2011.html</w:t>
        </w:r>
      </w:hyperlink>
      <w:r w:rsidRPr="005A5796">
        <w:rPr>
          <w:sz w:val="22"/>
          <w:szCs w:val="22"/>
        </w:rPr>
        <w:t xml:space="preserve"> </w:t>
      </w:r>
      <w:r w:rsidRPr="005A5796">
        <w:rPr>
          <w:sz w:val="22"/>
          <w:szCs w:val="22"/>
          <w:lang w:val="en-ZA" w:eastAsia="en-ZA"/>
        </w:rPr>
        <w:t>[Downloaded: 02/03/2012].</w:t>
      </w:r>
    </w:p>
    <w:p w:rsidR="00AB7884" w:rsidRPr="005A5796" w:rsidRDefault="00AB7884">
      <w:pPr>
        <w:spacing w:after="120"/>
        <w:rPr>
          <w:sz w:val="22"/>
          <w:szCs w:val="22"/>
          <w:lang w:eastAsia="en-ZA"/>
        </w:rPr>
      </w:pPr>
      <w:r w:rsidRPr="005A5796">
        <w:rPr>
          <w:sz w:val="22"/>
          <w:szCs w:val="22"/>
          <w:lang w:eastAsia="en-ZA"/>
        </w:rPr>
        <w:t xml:space="preserve">United Nations Conference on Trade and Development (UNCTAD). (2007). </w:t>
      </w:r>
      <w:r w:rsidRPr="005A5796">
        <w:rPr>
          <w:i/>
          <w:iCs/>
          <w:sz w:val="22"/>
          <w:szCs w:val="22"/>
          <w:lang w:eastAsia="en-ZA"/>
        </w:rPr>
        <w:t>The Universe of the Largest Corporations</w:t>
      </w:r>
      <w:r w:rsidRPr="005A5796">
        <w:rPr>
          <w:sz w:val="22"/>
          <w:szCs w:val="22"/>
          <w:lang w:eastAsia="en-ZA"/>
        </w:rPr>
        <w:t>. UN New York and Geneva.</w:t>
      </w:r>
    </w:p>
    <w:p w:rsidR="00AB7884" w:rsidRPr="005A5796" w:rsidRDefault="00AB7884">
      <w:pPr>
        <w:spacing w:after="120"/>
        <w:rPr>
          <w:i/>
          <w:iCs/>
          <w:sz w:val="22"/>
          <w:szCs w:val="22"/>
        </w:rPr>
      </w:pPr>
      <w:r w:rsidRPr="005A5796">
        <w:rPr>
          <w:sz w:val="22"/>
          <w:szCs w:val="22"/>
        </w:rPr>
        <w:t xml:space="preserve">World Economic Forum (2011). </w:t>
      </w:r>
      <w:r w:rsidRPr="005A5796">
        <w:rPr>
          <w:i/>
          <w:iCs/>
          <w:sz w:val="22"/>
          <w:szCs w:val="22"/>
        </w:rPr>
        <w:t>Global Risks 2011 Sixth Edition: An initiative of the Risk Response Network.</w:t>
      </w:r>
    </w:p>
    <w:p w:rsidR="00AB7884" w:rsidRPr="005A5796" w:rsidRDefault="00AB7884">
      <w:pPr>
        <w:spacing w:after="120"/>
        <w:rPr>
          <w:sz w:val="22"/>
          <w:szCs w:val="22"/>
          <w:lang w:val="en-ZA" w:eastAsia="en-ZA"/>
        </w:rPr>
      </w:pPr>
      <w:r w:rsidRPr="005A5796">
        <w:rPr>
          <w:sz w:val="22"/>
          <w:szCs w:val="22"/>
        </w:rPr>
        <w:t xml:space="preserve">World Health Organisation, Globalization and Health Systems Change, Globalization Knowledge Network, </w:t>
      </w:r>
      <w:r w:rsidRPr="005A5796">
        <w:rPr>
          <w:sz w:val="22"/>
          <w:szCs w:val="22"/>
          <w:lang w:val="en-ZA" w:eastAsia="en-ZA"/>
        </w:rPr>
        <w:t xml:space="preserve">World Bank. (2011). </w:t>
      </w:r>
      <w:r w:rsidRPr="005A5796">
        <w:rPr>
          <w:i/>
          <w:iCs/>
          <w:sz w:val="22"/>
          <w:szCs w:val="22"/>
          <w:lang w:val="en-ZA" w:eastAsia="en-ZA"/>
        </w:rPr>
        <w:t>Food Price Watch</w:t>
      </w:r>
      <w:r w:rsidRPr="005A5796">
        <w:rPr>
          <w:sz w:val="22"/>
          <w:szCs w:val="22"/>
          <w:lang w:val="en-ZA" w:eastAsia="en-ZA"/>
        </w:rPr>
        <w:t xml:space="preserve"> (April 2011). The World Bank.</w:t>
      </w:r>
    </w:p>
    <w:p w:rsidR="00AB7884" w:rsidRPr="005A5796" w:rsidRDefault="00AB7884">
      <w:pPr>
        <w:spacing w:after="120"/>
        <w:rPr>
          <w:sz w:val="22"/>
          <w:szCs w:val="22"/>
        </w:rPr>
      </w:pPr>
    </w:p>
    <w:p w:rsidR="00AB7884" w:rsidRPr="005A5796" w:rsidRDefault="00AB7884">
      <w:pPr>
        <w:pStyle w:val="PlainText"/>
        <w:spacing w:after="120"/>
        <w:rPr>
          <w:rFonts w:ascii="Arial" w:hAnsi="Arial" w:cs="Arial"/>
          <w:b/>
          <w:bCs/>
          <w:spacing w:val="40"/>
          <w:sz w:val="22"/>
          <w:szCs w:val="22"/>
        </w:rPr>
      </w:pPr>
    </w:p>
    <w:p w:rsidR="00AB7884" w:rsidRPr="005A5796" w:rsidRDefault="00AB7884">
      <w:pPr>
        <w:pStyle w:val="PlainText"/>
        <w:spacing w:after="120"/>
        <w:rPr>
          <w:rFonts w:ascii="Verdana" w:hAnsi="Verdana" w:cs="Verdana"/>
          <w:b/>
          <w:bCs/>
          <w:spacing w:val="40"/>
          <w:sz w:val="52"/>
          <w:szCs w:val="52"/>
        </w:rPr>
      </w:pPr>
    </w:p>
    <w:p w:rsidR="00AB7884" w:rsidRPr="005A5796" w:rsidRDefault="00AB7884">
      <w:pPr>
        <w:pStyle w:val="PlainText"/>
        <w:rPr>
          <w:rFonts w:ascii="Verdana" w:hAnsi="Verdana" w:cs="Verdana"/>
          <w:b/>
          <w:bCs/>
          <w:spacing w:val="40"/>
          <w:sz w:val="52"/>
          <w:szCs w:val="52"/>
        </w:rPr>
      </w:pPr>
    </w:p>
    <w:p w:rsidR="00AB7884" w:rsidRPr="005A5796" w:rsidRDefault="00AB7884">
      <w:pPr>
        <w:pStyle w:val="PlainText"/>
        <w:rPr>
          <w:rFonts w:ascii="Verdana" w:hAnsi="Verdana" w:cs="Verdana"/>
          <w:b/>
          <w:bCs/>
          <w:spacing w:val="40"/>
          <w:sz w:val="52"/>
          <w:szCs w:val="52"/>
        </w:rPr>
      </w:pPr>
    </w:p>
    <w:p w:rsidR="00AB7884" w:rsidRPr="005A5796" w:rsidRDefault="00AB7884">
      <w:pPr>
        <w:pStyle w:val="PlainText"/>
        <w:rPr>
          <w:rFonts w:ascii="Verdana" w:hAnsi="Verdana" w:cs="Verdana"/>
          <w:b/>
          <w:bCs/>
          <w:spacing w:val="40"/>
          <w:sz w:val="52"/>
          <w:szCs w:val="52"/>
        </w:rPr>
      </w:pPr>
    </w:p>
    <w:p w:rsidR="00AB7884" w:rsidRPr="005A5796" w:rsidRDefault="00AB7884">
      <w:pPr>
        <w:pStyle w:val="PlainText"/>
        <w:rPr>
          <w:rFonts w:ascii="Verdana" w:hAnsi="Verdana" w:cs="Verdana"/>
          <w:b/>
          <w:bCs/>
          <w:sz w:val="52"/>
          <w:szCs w:val="52"/>
        </w:rPr>
      </w:pPr>
      <w:r w:rsidRPr="005A5796">
        <w:rPr>
          <w:rFonts w:ascii="Verdana" w:hAnsi="Verdana" w:cs="Verdana"/>
          <w:b/>
          <w:bCs/>
          <w:spacing w:val="40"/>
          <w:sz w:val="52"/>
          <w:szCs w:val="52"/>
        </w:rPr>
        <w:br w:type="page"/>
      </w:r>
      <w:r w:rsidR="00E05378" w:rsidRPr="005A5796">
        <w:rPr>
          <w:rFonts w:ascii="Verdana" w:hAnsi="Verdana" w:cs="Verdana"/>
          <w:b/>
          <w:bCs/>
          <w:spacing w:val="40"/>
          <w:sz w:val="52"/>
          <w:szCs w:val="52"/>
        </w:rPr>
        <w:lastRenderedPageBreak/>
        <w:br w:type="page"/>
      </w:r>
      <w:r w:rsidRPr="005A5796">
        <w:rPr>
          <w:rFonts w:ascii="Verdana" w:hAnsi="Verdana" w:cs="Verdana"/>
          <w:b/>
          <w:bCs/>
          <w:spacing w:val="40"/>
          <w:sz w:val="52"/>
          <w:szCs w:val="52"/>
        </w:rPr>
        <w:lastRenderedPageBreak/>
        <w:t>Unit 2 –</w:t>
      </w:r>
      <w:r w:rsidRPr="005A5796">
        <w:rPr>
          <w:rFonts w:ascii="Verdana" w:hAnsi="Verdana" w:cs="Verdana"/>
          <w:b/>
          <w:bCs/>
          <w:sz w:val="52"/>
          <w:szCs w:val="52"/>
        </w:rPr>
        <w:t>Session 2</w:t>
      </w:r>
    </w:p>
    <w:p w:rsidR="00AB7884" w:rsidRPr="005A5796" w:rsidRDefault="00AB7884">
      <w:pPr>
        <w:pStyle w:val="PlainText"/>
        <w:rPr>
          <w:rFonts w:ascii="Verdana" w:hAnsi="Verdana" w:cs="Verdana"/>
          <w:b/>
          <w:bCs/>
          <w:sz w:val="16"/>
          <w:szCs w:val="16"/>
        </w:rPr>
      </w:pPr>
    </w:p>
    <w:p w:rsidR="00AB7884" w:rsidRDefault="00AB7884">
      <w:pPr>
        <w:pStyle w:val="PlainText"/>
        <w:rPr>
          <w:rFonts w:ascii="Verdana" w:hAnsi="Verdana" w:cs="Verdana"/>
          <w:b/>
          <w:bCs/>
          <w:sz w:val="52"/>
          <w:szCs w:val="52"/>
        </w:rPr>
      </w:pPr>
      <w:r>
        <w:rPr>
          <w:rFonts w:ascii="Verdana" w:hAnsi="Verdana" w:cs="Verdana"/>
          <w:b/>
          <w:bCs/>
          <w:sz w:val="52"/>
          <w:szCs w:val="52"/>
        </w:rPr>
        <w:t xml:space="preserve">How Does the Global Food Trade Affect the Health and Nutrition of Communities? Development   </w:t>
      </w:r>
      <w:r w:rsidR="00717A10" w:rsidRPr="00717A10">
        <w:rPr>
          <w:rFonts w:ascii="Verdana" w:hAnsi="Verdana" w:cs="Verdana"/>
          <w:b/>
          <w:bCs/>
          <w:sz w:val="52"/>
          <w:szCs w:val="52"/>
        </w:rPr>
        <w:pict>
          <v:rect id="_x0000_i1043" style="width:425.25pt;height:6pt" o:hrpct="0" o:hrstd="t" o:hrnoshade="t" o:hr="t" fillcolor="black" stroked="f"/>
        </w:pict>
      </w:r>
    </w:p>
    <w:p w:rsidR="00AB7884" w:rsidRDefault="00AB7884">
      <w:pPr>
        <w:pStyle w:val="Heading1"/>
        <w:rPr>
          <w:rFonts w:ascii="Trebuchet MS" w:hAnsi="Trebuchet MS" w:cs="Trebuchet MS"/>
          <w:sz w:val="28"/>
          <w:szCs w:val="28"/>
        </w:rPr>
      </w:pPr>
      <w:r>
        <w:rPr>
          <w:rFonts w:ascii="Trebuchet MS" w:hAnsi="Trebuchet MS" w:cs="Trebuchet MS"/>
          <w:sz w:val="28"/>
          <w:szCs w:val="28"/>
        </w:rPr>
        <w:t>Introduction</w:t>
      </w:r>
    </w:p>
    <w:p w:rsidR="00AB7884" w:rsidRDefault="00AB7884">
      <w:pPr>
        <w:pStyle w:val="NormalWeb"/>
        <w:spacing w:before="0" w:beforeAutospacing="0"/>
        <w:ind w:left="720"/>
        <w:rPr>
          <w:rFonts w:ascii="Trebuchet MS" w:hAnsi="Trebuchet MS" w:cs="Trebuchet MS"/>
          <w:sz w:val="22"/>
          <w:szCs w:val="22"/>
        </w:rPr>
      </w:pPr>
      <w:r>
        <w:rPr>
          <w:rFonts w:ascii="Trebuchet MS" w:hAnsi="Trebuchet MS" w:cs="Trebuchet MS"/>
          <w:sz w:val="22"/>
          <w:szCs w:val="22"/>
        </w:rPr>
        <w:t>“ …</w:t>
      </w:r>
      <w:r>
        <w:rPr>
          <w:rFonts w:ascii="Trebuchet MS" w:hAnsi="Trebuchet MS" w:cs="Trebuchet MS"/>
          <w:i/>
          <w:iCs/>
          <w:sz w:val="22"/>
          <w:szCs w:val="22"/>
        </w:rPr>
        <w:t>global public health problems take on different forms, [but] they are all linked to the production and consumption of food. And while what we eat is ultimately affected by what we do or do not place in our own mouths, there are far larger forces at work. One of these is ‘globalization’, a process promoted as a solution to world food problems</w:t>
      </w:r>
      <w:r>
        <w:rPr>
          <w:rFonts w:ascii="Trebuchet MS" w:hAnsi="Trebuchet MS" w:cs="Trebuchet MS"/>
          <w:sz w:val="22"/>
          <w:szCs w:val="22"/>
        </w:rPr>
        <w:t>” (Global Health Watch 2, 2008, 126).</w:t>
      </w:r>
    </w:p>
    <w:p w:rsidR="00AB7884" w:rsidRDefault="00AB7884">
      <w:pPr>
        <w:tabs>
          <w:tab w:val="num" w:pos="720"/>
        </w:tabs>
        <w:spacing w:after="200"/>
        <w:rPr>
          <w:sz w:val="22"/>
          <w:szCs w:val="22"/>
        </w:rPr>
      </w:pPr>
      <w:r>
        <w:rPr>
          <w:sz w:val="22"/>
          <w:szCs w:val="22"/>
        </w:rPr>
        <w:t>According to the WHO (2003), diet-related illnesses are among the top ten leading risk factors for the global burden of disease. In this session we study diet-related illnesses in South Africa as an example of a middle-income country, which has undergone many changes in recent years. Through the case study, we analyse the multiple causes of diet-related illnesses and how these can be ultimately linked to the global food trade. Throughout the session we invite you to relate what you are reading and studying to your own context.</w:t>
      </w:r>
    </w:p>
    <w:p w:rsidR="00AB7884" w:rsidRDefault="00AB7884">
      <w:pPr>
        <w:pStyle w:val="Heading1"/>
        <w:rPr>
          <w:rFonts w:ascii="Trebuchet MS" w:hAnsi="Trebuchet MS" w:cs="Trebuchet MS"/>
          <w:sz w:val="28"/>
          <w:szCs w:val="28"/>
        </w:rPr>
      </w:pPr>
      <w:r>
        <w:rPr>
          <w:rFonts w:ascii="Trebuchet MS" w:hAnsi="Trebuchet MS" w:cs="Trebuchet MS"/>
          <w:sz w:val="28"/>
          <w:szCs w:val="28"/>
        </w:rPr>
        <w:t xml:space="preserve">Contents </w:t>
      </w:r>
    </w:p>
    <w:p w:rsidR="00AB7884" w:rsidRDefault="00AB7884">
      <w:pPr>
        <w:ind w:right="1332"/>
        <w:rPr>
          <w:sz w:val="22"/>
          <w:szCs w:val="22"/>
        </w:rPr>
      </w:pPr>
      <w:r>
        <w:rPr>
          <w:sz w:val="22"/>
          <w:szCs w:val="22"/>
        </w:rPr>
        <w:t>1</w:t>
      </w:r>
      <w:r>
        <w:rPr>
          <w:sz w:val="22"/>
          <w:szCs w:val="22"/>
        </w:rPr>
        <w:tab/>
        <w:t>Learning outcomes of this session</w:t>
      </w:r>
    </w:p>
    <w:p w:rsidR="00AB7884" w:rsidRDefault="00AB7884">
      <w:pPr>
        <w:ind w:right="1332"/>
        <w:rPr>
          <w:sz w:val="22"/>
          <w:szCs w:val="22"/>
        </w:rPr>
      </w:pPr>
      <w:r>
        <w:rPr>
          <w:sz w:val="22"/>
          <w:szCs w:val="22"/>
        </w:rPr>
        <w:t>2</w:t>
      </w:r>
      <w:r>
        <w:rPr>
          <w:sz w:val="22"/>
          <w:szCs w:val="22"/>
        </w:rPr>
        <w:tab/>
        <w:t xml:space="preserve">Readings </w:t>
      </w:r>
    </w:p>
    <w:p w:rsidR="00AB7884" w:rsidRDefault="00AB7884">
      <w:pPr>
        <w:ind w:right="1332"/>
        <w:rPr>
          <w:sz w:val="22"/>
          <w:szCs w:val="22"/>
        </w:rPr>
      </w:pPr>
      <w:r>
        <w:rPr>
          <w:sz w:val="22"/>
          <w:szCs w:val="22"/>
        </w:rPr>
        <w:t>3</w:t>
      </w:r>
      <w:r>
        <w:rPr>
          <w:sz w:val="22"/>
          <w:szCs w:val="22"/>
        </w:rPr>
        <w:tab/>
        <w:t>Case study: South Africa’s disease profile</w:t>
      </w:r>
    </w:p>
    <w:p w:rsidR="00AB7884" w:rsidRDefault="00AB7884">
      <w:pPr>
        <w:ind w:left="720" w:right="1332" w:hanging="720"/>
        <w:rPr>
          <w:sz w:val="22"/>
          <w:szCs w:val="22"/>
        </w:rPr>
      </w:pPr>
      <w:r>
        <w:rPr>
          <w:sz w:val="22"/>
          <w:szCs w:val="22"/>
        </w:rPr>
        <w:t>4</w:t>
      </w:r>
      <w:r>
        <w:rPr>
          <w:sz w:val="22"/>
          <w:szCs w:val="22"/>
        </w:rPr>
        <w:tab/>
        <w:t xml:space="preserve">The double burden of malnutrition </w:t>
      </w:r>
    </w:p>
    <w:p w:rsidR="00AB7884" w:rsidRDefault="00AB7884">
      <w:pPr>
        <w:ind w:left="720" w:right="1332" w:hanging="720"/>
        <w:rPr>
          <w:sz w:val="22"/>
          <w:szCs w:val="22"/>
        </w:rPr>
      </w:pPr>
      <w:r>
        <w:rPr>
          <w:sz w:val="22"/>
          <w:szCs w:val="22"/>
        </w:rPr>
        <w:t>5</w:t>
      </w:r>
      <w:r>
        <w:rPr>
          <w:sz w:val="22"/>
          <w:szCs w:val="22"/>
        </w:rPr>
        <w:tab/>
        <w:t>Under-nutrition in South Africa</w:t>
      </w:r>
    </w:p>
    <w:p w:rsidR="00AB7884" w:rsidRDefault="00AB7884">
      <w:pPr>
        <w:ind w:left="720" w:right="1332" w:hanging="720"/>
        <w:rPr>
          <w:sz w:val="22"/>
          <w:szCs w:val="22"/>
        </w:rPr>
      </w:pPr>
      <w:r>
        <w:rPr>
          <w:sz w:val="22"/>
          <w:szCs w:val="22"/>
        </w:rPr>
        <w:t xml:space="preserve">6  </w:t>
      </w:r>
      <w:r>
        <w:rPr>
          <w:sz w:val="22"/>
          <w:szCs w:val="22"/>
        </w:rPr>
        <w:tab/>
        <w:t>Over-nutrition in South Africa</w:t>
      </w:r>
    </w:p>
    <w:p w:rsidR="00AB7884" w:rsidRDefault="00AB7884">
      <w:pPr>
        <w:ind w:left="720" w:right="1332" w:hanging="720"/>
        <w:rPr>
          <w:sz w:val="22"/>
          <w:szCs w:val="22"/>
        </w:rPr>
      </w:pPr>
      <w:r>
        <w:rPr>
          <w:sz w:val="22"/>
          <w:szCs w:val="22"/>
        </w:rPr>
        <w:t>7</w:t>
      </w:r>
      <w:r>
        <w:rPr>
          <w:sz w:val="22"/>
          <w:szCs w:val="22"/>
        </w:rPr>
        <w:tab/>
        <w:t>The chain of causality</w:t>
      </w:r>
    </w:p>
    <w:p w:rsidR="00AB7884" w:rsidRDefault="00AB7884">
      <w:pPr>
        <w:ind w:left="720" w:right="1332" w:hanging="720"/>
        <w:rPr>
          <w:sz w:val="22"/>
          <w:szCs w:val="22"/>
        </w:rPr>
      </w:pPr>
      <w:r>
        <w:rPr>
          <w:sz w:val="22"/>
          <w:szCs w:val="22"/>
        </w:rPr>
        <w:t>8</w:t>
      </w:r>
      <w:r>
        <w:rPr>
          <w:sz w:val="22"/>
          <w:szCs w:val="22"/>
        </w:rPr>
        <w:tab/>
        <w:t>The link to the global food trade</w:t>
      </w:r>
    </w:p>
    <w:p w:rsidR="00AB7884" w:rsidRDefault="00AB7884">
      <w:pPr>
        <w:ind w:right="39"/>
        <w:rPr>
          <w:sz w:val="22"/>
          <w:szCs w:val="22"/>
        </w:rPr>
      </w:pPr>
      <w:r>
        <w:rPr>
          <w:sz w:val="22"/>
          <w:szCs w:val="22"/>
        </w:rPr>
        <w:t>9</w:t>
      </w:r>
      <w:r>
        <w:rPr>
          <w:sz w:val="22"/>
          <w:szCs w:val="22"/>
        </w:rPr>
        <w:tab/>
        <w:t xml:space="preserve">Session summary </w:t>
      </w:r>
    </w:p>
    <w:p w:rsidR="00AB7884" w:rsidRDefault="00AB7884">
      <w:pPr>
        <w:ind w:right="1332"/>
        <w:rPr>
          <w:sz w:val="22"/>
          <w:szCs w:val="22"/>
        </w:rPr>
      </w:pPr>
      <w:r>
        <w:rPr>
          <w:sz w:val="22"/>
          <w:szCs w:val="22"/>
        </w:rPr>
        <w:t>10</w:t>
      </w:r>
      <w:r>
        <w:rPr>
          <w:sz w:val="22"/>
          <w:szCs w:val="22"/>
        </w:rPr>
        <w:tab/>
        <w:t>References and further reading</w:t>
      </w:r>
    </w:p>
    <w:p w:rsidR="00AB7884" w:rsidRDefault="00AB7884">
      <w:pPr>
        <w:rPr>
          <w:sz w:val="22"/>
          <w:szCs w:val="22"/>
        </w:rPr>
      </w:pPr>
    </w:p>
    <w:p w:rsidR="00AB7884" w:rsidRDefault="00AB7884">
      <w:pPr>
        <w:pStyle w:val="Heading1"/>
        <w:tabs>
          <w:tab w:val="left" w:pos="540"/>
        </w:tabs>
        <w:spacing w:before="240"/>
        <w:rPr>
          <w:rFonts w:ascii="Trebuchet MS" w:hAnsi="Trebuchet MS" w:cs="Trebuchet MS"/>
          <w:sz w:val="28"/>
          <w:szCs w:val="28"/>
        </w:rPr>
      </w:pPr>
      <w:r>
        <w:rPr>
          <w:rFonts w:ascii="Trebuchet MS" w:hAnsi="Trebuchet MS" w:cs="Trebuchet MS"/>
          <w:sz w:val="28"/>
          <w:szCs w:val="28"/>
        </w:rPr>
        <w:t>Timing of this session</w:t>
      </w:r>
    </w:p>
    <w:p w:rsidR="00AB7884" w:rsidRDefault="00AB7884">
      <w:pPr>
        <w:tabs>
          <w:tab w:val="left" w:pos="540"/>
        </w:tabs>
        <w:rPr>
          <w:sz w:val="22"/>
          <w:szCs w:val="22"/>
        </w:rPr>
      </w:pPr>
      <w:r>
        <w:rPr>
          <w:sz w:val="22"/>
          <w:szCs w:val="22"/>
        </w:rPr>
        <w:t>There are six readings and five tasks in this session. It is likely to take you a minimum of six hours to complete.</w:t>
      </w:r>
    </w:p>
    <w:p w:rsidR="00AB7884" w:rsidRDefault="00AB7884">
      <w:pPr>
        <w:tabs>
          <w:tab w:val="left" w:pos="540"/>
        </w:tabs>
        <w:rPr>
          <w:sz w:val="22"/>
          <w:szCs w:val="22"/>
        </w:rPr>
      </w:pPr>
    </w:p>
    <w:p w:rsidR="00AB7884" w:rsidRDefault="00AB7884">
      <w:pPr>
        <w:tabs>
          <w:tab w:val="left" w:pos="540"/>
        </w:tabs>
        <w:rPr>
          <w:sz w:val="22"/>
          <w:szCs w:val="22"/>
        </w:rPr>
      </w:pPr>
    </w:p>
    <w:p w:rsidR="00AB7884" w:rsidRDefault="00AB7884">
      <w:pPr>
        <w:pStyle w:val="Heading2"/>
        <w:spacing w:before="240" w:after="120"/>
        <w:rPr>
          <w:rFonts w:ascii="Trebuchet MS" w:hAnsi="Trebuchet MS" w:cs="Trebuchet MS"/>
          <w:color w:val="FF0000"/>
          <w:sz w:val="24"/>
          <w:szCs w:val="24"/>
        </w:rPr>
      </w:pPr>
      <w:r>
        <w:rPr>
          <w:rFonts w:ascii="Trebuchet MS" w:hAnsi="Trebuchet MS" w:cs="Trebuchet MS"/>
          <w:b w:val="0"/>
          <w:bCs w:val="0"/>
          <w:sz w:val="28"/>
          <w:szCs w:val="28"/>
        </w:rPr>
        <w:br w:type="page"/>
      </w:r>
      <w:r>
        <w:rPr>
          <w:rFonts w:ascii="Trebuchet MS" w:hAnsi="Trebuchet MS" w:cs="Trebuchet MS"/>
          <w:sz w:val="28"/>
          <w:szCs w:val="28"/>
        </w:rPr>
        <w:lastRenderedPageBreak/>
        <w:t>1</w:t>
      </w:r>
      <w:r>
        <w:rPr>
          <w:rFonts w:ascii="Trebuchet MS" w:hAnsi="Trebuchet MS" w:cs="Trebuchet MS"/>
          <w:sz w:val="28"/>
          <w:szCs w:val="28"/>
        </w:rPr>
        <w:tab/>
        <w:t>LEARNING OUTCOMES FOR THIS SESSION</w:t>
      </w:r>
    </w:p>
    <w:p w:rsidR="00AB7884" w:rsidRDefault="00717A10">
      <w:pPr>
        <w:rPr>
          <w:rFonts w:ascii="Trebuchet MS" w:hAnsi="Trebuchet MS" w:cs="Trebuchet MS"/>
          <w:b/>
          <w:bCs/>
          <w:sz w:val="18"/>
          <w:szCs w:val="18"/>
        </w:rPr>
      </w:pPr>
      <w:r w:rsidRPr="00717A10">
        <w:rPr>
          <w:color w:val="FF0000"/>
          <w:sz w:val="24"/>
          <w:szCs w:val="24"/>
        </w:rPr>
        <w:pict>
          <v:rect id="_x0000_i1044" style="width:425.2pt;height:2pt" o:hralign="center" o:hrstd="t" o:hrnoshade="t" o:hr="t" fillcolor="black" stroked="f"/>
        </w:pict>
      </w:r>
    </w:p>
    <w:p w:rsidR="00AB7884" w:rsidRDefault="00AB788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0"/>
      </w:tblGrid>
      <w:tr w:rsidR="00AB7884" w:rsidRPr="0034040D" w:rsidTr="0021531A">
        <w:trPr>
          <w:trHeight w:val="506"/>
        </w:trPr>
        <w:tc>
          <w:tcPr>
            <w:tcW w:w="8460" w:type="dxa"/>
          </w:tcPr>
          <w:p w:rsidR="00AB7884" w:rsidRPr="0034040D" w:rsidRDefault="00AB7884">
            <w:pP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By the end of this session, you should be able to:</w:t>
            </w:r>
          </w:p>
        </w:tc>
      </w:tr>
      <w:tr w:rsidR="00AB7884" w:rsidRPr="0034040D" w:rsidTr="0021531A">
        <w:trPr>
          <w:cantSplit/>
          <w:trHeight w:val="1069"/>
        </w:trPr>
        <w:tc>
          <w:tcPr>
            <w:tcW w:w="8460" w:type="dxa"/>
          </w:tcPr>
          <w:p w:rsidR="00AB7884" w:rsidRPr="0034040D" w:rsidRDefault="00AB7884">
            <w:pPr>
              <w:pStyle w:val="ListParagraph"/>
              <w:numPr>
                <w:ilvl w:val="0"/>
                <w:numId w:val="4"/>
              </w:numPr>
              <w:spacing w:before="120"/>
              <w:ind w:left="357" w:hanging="357"/>
              <w:rPr>
                <w:rFonts w:eastAsiaTheme="minorEastAsia"/>
                <w:sz w:val="22"/>
                <w:szCs w:val="22"/>
              </w:rPr>
            </w:pPr>
            <w:r w:rsidRPr="0034040D">
              <w:rPr>
                <w:rFonts w:eastAsiaTheme="minorEastAsia"/>
                <w:sz w:val="22"/>
                <w:szCs w:val="22"/>
              </w:rPr>
              <w:t>Analyse the relationship between the global food trade and the double burden of malnutrition.</w:t>
            </w:r>
          </w:p>
          <w:p w:rsidR="00AB7884" w:rsidRPr="0034040D" w:rsidRDefault="00AB7884">
            <w:pPr>
              <w:pStyle w:val="ListParagraph"/>
              <w:numPr>
                <w:ilvl w:val="0"/>
                <w:numId w:val="4"/>
              </w:numPr>
              <w:rPr>
                <w:rFonts w:eastAsiaTheme="minorEastAsia"/>
                <w:sz w:val="22"/>
                <w:szCs w:val="22"/>
              </w:rPr>
            </w:pPr>
            <w:r w:rsidRPr="0034040D">
              <w:rPr>
                <w:rFonts w:eastAsiaTheme="minorEastAsia"/>
                <w:sz w:val="22"/>
                <w:szCs w:val="22"/>
                <w:lang w:val="en-ZA"/>
              </w:rPr>
              <w:t>Critically assess the effect of trade liberalisation on food security</w:t>
            </w:r>
            <w:r w:rsidRPr="0034040D">
              <w:rPr>
                <w:rFonts w:eastAsiaTheme="minorEastAsia"/>
                <w:sz w:val="22"/>
                <w:szCs w:val="22"/>
              </w:rPr>
              <w:t>.</w:t>
            </w:r>
          </w:p>
          <w:p w:rsidR="00AB7884" w:rsidRPr="0034040D" w:rsidRDefault="00AB7884">
            <w:pPr>
              <w:pStyle w:val="ListParagraph"/>
              <w:numPr>
                <w:ilvl w:val="0"/>
                <w:numId w:val="4"/>
              </w:numPr>
              <w:spacing w:after="120"/>
              <w:ind w:left="357" w:hanging="357"/>
              <w:rPr>
                <w:rFonts w:ascii="Times New Roman" w:eastAsiaTheme="minorEastAsia" w:hAnsi="Times New Roman" w:cs="Times New Roman"/>
                <w:sz w:val="22"/>
                <w:szCs w:val="22"/>
              </w:rPr>
            </w:pPr>
            <w:r w:rsidRPr="0034040D">
              <w:rPr>
                <w:rFonts w:eastAsiaTheme="minorEastAsia"/>
                <w:sz w:val="22"/>
                <w:szCs w:val="22"/>
              </w:rPr>
              <w:t>Investigate the multiple causes of under- and/or over-nutrition in a context of your choosing.</w:t>
            </w:r>
          </w:p>
        </w:tc>
      </w:tr>
    </w:tbl>
    <w:p w:rsidR="00AB7884" w:rsidRDefault="00AB7884">
      <w:pPr>
        <w:pStyle w:val="Heading2"/>
        <w:spacing w:before="240" w:after="120"/>
        <w:rPr>
          <w:rFonts w:ascii="Trebuchet MS" w:hAnsi="Trebuchet MS" w:cs="Trebuchet MS"/>
          <w:color w:val="FF0000"/>
          <w:sz w:val="24"/>
          <w:szCs w:val="24"/>
        </w:rPr>
      </w:pPr>
      <w:r>
        <w:rPr>
          <w:rFonts w:ascii="Trebuchet MS" w:hAnsi="Trebuchet MS" w:cs="Trebuchet MS"/>
          <w:sz w:val="28"/>
          <w:szCs w:val="28"/>
        </w:rPr>
        <w:t>2</w:t>
      </w:r>
      <w:r>
        <w:rPr>
          <w:rFonts w:ascii="Trebuchet MS" w:hAnsi="Trebuchet MS" w:cs="Trebuchet MS"/>
          <w:sz w:val="28"/>
          <w:szCs w:val="28"/>
        </w:rPr>
        <w:tab/>
        <w:t xml:space="preserve">READINGS </w:t>
      </w:r>
    </w:p>
    <w:p w:rsidR="00AB7884" w:rsidRDefault="00717A10">
      <w:pPr>
        <w:spacing w:after="120"/>
        <w:rPr>
          <w:rFonts w:ascii="Trebuchet MS" w:hAnsi="Trebuchet MS" w:cs="Trebuchet MS"/>
          <w:b/>
          <w:bCs/>
          <w:sz w:val="18"/>
          <w:szCs w:val="18"/>
        </w:rPr>
      </w:pPr>
      <w:r w:rsidRPr="00717A10">
        <w:rPr>
          <w:color w:val="FF0000"/>
          <w:sz w:val="24"/>
          <w:szCs w:val="24"/>
        </w:rPr>
        <w:pict>
          <v:rect id="_x0000_i1045" style="width:425.2pt;height:2pt" o:hralign="center" o:hrstd="t" o:hrnoshade="t" o:hr="t" fillcolor="black" stroked="f"/>
        </w:pic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801"/>
        <w:gridCol w:w="5659"/>
      </w:tblGrid>
      <w:tr w:rsidR="00AB7884" w:rsidRPr="0034040D" w:rsidTr="0021531A">
        <w:tc>
          <w:tcPr>
            <w:tcW w:w="2801" w:type="dxa"/>
          </w:tcPr>
          <w:p w:rsidR="00AB7884" w:rsidRPr="0034040D" w:rsidRDefault="00AB7884">
            <w:pPr>
              <w:spacing w:before="120" w:after="120"/>
              <w:rPr>
                <w:rFonts w:eastAsiaTheme="minorEastAsia"/>
                <w:b/>
                <w:bCs/>
                <w:color w:val="000000"/>
                <w:sz w:val="22"/>
                <w:szCs w:val="22"/>
                <w:lang w:val="en-ZA"/>
              </w:rPr>
            </w:pPr>
            <w:r w:rsidRPr="0034040D">
              <w:rPr>
                <w:rFonts w:eastAsiaTheme="minorEastAsia"/>
                <w:b/>
                <w:bCs/>
                <w:color w:val="000000"/>
                <w:sz w:val="22"/>
                <w:szCs w:val="22"/>
                <w:lang w:val="en-ZA"/>
              </w:rPr>
              <w:t>Author/s</w:t>
            </w:r>
          </w:p>
        </w:tc>
        <w:tc>
          <w:tcPr>
            <w:tcW w:w="5659" w:type="dxa"/>
          </w:tcPr>
          <w:p w:rsidR="00AB7884" w:rsidRPr="0034040D" w:rsidRDefault="00AB7884">
            <w:pPr>
              <w:spacing w:before="120" w:after="120"/>
              <w:rPr>
                <w:rFonts w:eastAsiaTheme="minorEastAsia"/>
                <w:b/>
                <w:bCs/>
                <w:color w:val="000000"/>
                <w:sz w:val="22"/>
                <w:szCs w:val="22"/>
                <w:lang w:val="en-ZA"/>
              </w:rPr>
            </w:pPr>
            <w:r w:rsidRPr="0034040D">
              <w:rPr>
                <w:rFonts w:eastAsiaTheme="minorEastAsia"/>
                <w:b/>
                <w:bCs/>
                <w:color w:val="000000"/>
                <w:sz w:val="22"/>
                <w:szCs w:val="22"/>
                <w:lang w:val="en-ZA"/>
              </w:rPr>
              <w:t>Reference</w:t>
            </w:r>
          </w:p>
        </w:tc>
      </w:tr>
      <w:tr w:rsidR="00AB7884" w:rsidRPr="0034040D" w:rsidTr="0021531A">
        <w:tc>
          <w:tcPr>
            <w:tcW w:w="2801" w:type="dxa"/>
          </w:tcPr>
          <w:p w:rsidR="00AB7884" w:rsidRPr="0034040D" w:rsidRDefault="00AB7884">
            <w:pPr>
              <w:spacing w:before="120" w:after="120"/>
              <w:rPr>
                <w:rFonts w:eastAsiaTheme="minorEastAsia"/>
                <w:color w:val="000000"/>
                <w:sz w:val="22"/>
                <w:szCs w:val="22"/>
                <w:lang w:val="en-ZA"/>
              </w:rPr>
            </w:pPr>
            <w:r w:rsidRPr="0034040D">
              <w:rPr>
                <w:rFonts w:eastAsiaTheme="minorEastAsia"/>
                <w:color w:val="000000"/>
                <w:sz w:val="22"/>
                <w:szCs w:val="22"/>
                <w:lang w:val="en-ZA"/>
              </w:rPr>
              <w:t>Chopra, M. &amp; Sanders, D.</w:t>
            </w:r>
          </w:p>
        </w:tc>
        <w:tc>
          <w:tcPr>
            <w:tcW w:w="5659" w:type="dxa"/>
          </w:tcPr>
          <w:p w:rsidR="00AB7884" w:rsidRPr="0034040D" w:rsidRDefault="00AB7884">
            <w:pPr>
              <w:spacing w:before="120" w:after="120"/>
              <w:rPr>
                <w:rFonts w:eastAsiaTheme="minorEastAsia"/>
                <w:color w:val="000000"/>
                <w:sz w:val="22"/>
                <w:szCs w:val="22"/>
                <w:lang w:val="en-ZA"/>
              </w:rPr>
            </w:pPr>
            <w:r w:rsidRPr="0034040D">
              <w:rPr>
                <w:rFonts w:eastAsiaTheme="minorEastAsia"/>
                <w:color w:val="000000"/>
                <w:sz w:val="22"/>
                <w:szCs w:val="22"/>
                <w:lang w:val="en-ZA"/>
              </w:rPr>
              <w:t xml:space="preserve"> (2004). From Apartheid to Globalisation: Health and Social Change in South Africa. </w:t>
            </w:r>
            <w:r w:rsidRPr="0034040D">
              <w:rPr>
                <w:rFonts w:eastAsiaTheme="minorEastAsia"/>
                <w:sz w:val="22"/>
                <w:szCs w:val="22"/>
              </w:rPr>
              <w:t xml:space="preserve">In: M. Chopra, J. Sundin &amp; S. Willner (eds.), Health and Social Change. Past and Present Evidence. </w:t>
            </w:r>
            <w:r w:rsidRPr="0034040D">
              <w:rPr>
                <w:rFonts w:eastAsiaTheme="minorEastAsia"/>
                <w:i/>
                <w:iCs/>
                <w:sz w:val="22"/>
                <w:szCs w:val="22"/>
              </w:rPr>
              <w:t xml:space="preserve">Hygiea Internationalis. An Interdisciplinary Journal for the History of Public Health. </w:t>
            </w:r>
            <w:r w:rsidRPr="0034040D">
              <w:rPr>
                <w:rFonts w:eastAsiaTheme="minorEastAsia"/>
                <w:sz w:val="22"/>
                <w:szCs w:val="22"/>
              </w:rPr>
              <w:t>Special Issue, 4(1):153–174.</w:t>
            </w:r>
          </w:p>
        </w:tc>
      </w:tr>
      <w:tr w:rsidR="008B77BE" w:rsidRPr="0034040D" w:rsidTr="0021531A">
        <w:tc>
          <w:tcPr>
            <w:tcW w:w="2801" w:type="dxa"/>
          </w:tcPr>
          <w:p w:rsidR="008B77BE" w:rsidRPr="0034040D" w:rsidRDefault="008B77BE" w:rsidP="00C175F5">
            <w:pPr>
              <w:spacing w:before="120" w:after="120"/>
              <w:rPr>
                <w:rFonts w:eastAsiaTheme="minorEastAsia"/>
              </w:rPr>
            </w:pPr>
            <w:r w:rsidRPr="0034040D">
              <w:rPr>
                <w:rFonts w:eastAsiaTheme="minorEastAsia"/>
                <w:sz w:val="22"/>
                <w:szCs w:val="22"/>
                <w:lang w:eastAsia="en-ZA"/>
              </w:rPr>
              <w:t xml:space="preserve">Greene, M.  </w:t>
            </w:r>
          </w:p>
        </w:tc>
        <w:tc>
          <w:tcPr>
            <w:tcW w:w="5659" w:type="dxa"/>
          </w:tcPr>
          <w:p w:rsidR="008B77BE" w:rsidRPr="005A5796" w:rsidRDefault="008B77BE" w:rsidP="00C175F5">
            <w:pPr>
              <w:spacing w:before="120" w:after="120"/>
              <w:rPr>
                <w:rFonts w:eastAsiaTheme="minorEastAsia"/>
              </w:rPr>
            </w:pPr>
            <w:r w:rsidRPr="005A5796">
              <w:rPr>
                <w:rFonts w:eastAsiaTheme="minorEastAsia"/>
                <w:sz w:val="22"/>
                <w:szCs w:val="22"/>
                <w:lang w:eastAsia="en-ZA"/>
              </w:rPr>
              <w:t xml:space="preserve">(2011). Invest in African farmers to aid world food security – Annan. </w:t>
            </w:r>
            <w:r w:rsidRPr="005A5796">
              <w:rPr>
                <w:rFonts w:eastAsiaTheme="minorEastAsia"/>
                <w:i/>
                <w:iCs/>
                <w:sz w:val="22"/>
                <w:szCs w:val="22"/>
                <w:lang w:eastAsia="en-ZA"/>
              </w:rPr>
              <w:t>Alertnet</w:t>
            </w:r>
            <w:r w:rsidRPr="005A5796">
              <w:rPr>
                <w:rFonts w:eastAsiaTheme="minorEastAsia"/>
                <w:sz w:val="22"/>
                <w:szCs w:val="22"/>
                <w:lang w:eastAsia="en-ZA"/>
              </w:rPr>
              <w:t xml:space="preserve">. [Online], Available: </w:t>
            </w:r>
            <w:hyperlink r:id="rId29" w:history="1">
              <w:r w:rsidRPr="005A5796">
                <w:rPr>
                  <w:rStyle w:val="Hyperlink"/>
                  <w:rFonts w:ascii="Arial" w:eastAsiaTheme="minorEastAsia" w:hAnsi="Arial" w:cs="Arial"/>
                  <w:sz w:val="22"/>
                  <w:szCs w:val="22"/>
                  <w:u w:val="none"/>
                  <w:lang w:eastAsia="en-ZA"/>
                </w:rPr>
                <w:t>http://www.trust.org/alertnet/news/invest-in-african-farmers-to-aid-world-food-security-annan/</w:t>
              </w:r>
            </w:hyperlink>
            <w:r w:rsidRPr="005A5796">
              <w:rPr>
                <w:rFonts w:eastAsiaTheme="minorEastAsia"/>
                <w:sz w:val="22"/>
                <w:szCs w:val="22"/>
                <w:lang w:eastAsia="en-ZA"/>
              </w:rPr>
              <w:t xml:space="preserve"> [Downloaded: 3.9.12]</w:t>
            </w:r>
            <w:r w:rsidR="008A67CC">
              <w:rPr>
                <w:rFonts w:eastAsiaTheme="minorEastAsia"/>
                <w:sz w:val="22"/>
                <w:szCs w:val="22"/>
                <w:lang w:eastAsia="en-ZA"/>
              </w:rPr>
              <w:t xml:space="preserve"> [3 pages].</w:t>
            </w:r>
          </w:p>
        </w:tc>
      </w:tr>
      <w:tr w:rsidR="008B77BE" w:rsidRPr="0034040D" w:rsidTr="0021531A">
        <w:tc>
          <w:tcPr>
            <w:tcW w:w="2801" w:type="dxa"/>
          </w:tcPr>
          <w:p w:rsidR="008B77BE" w:rsidRPr="0034040D" w:rsidRDefault="008B77BE" w:rsidP="00C175F5">
            <w:pPr>
              <w:spacing w:before="120" w:after="120"/>
              <w:rPr>
                <w:rFonts w:eastAsiaTheme="minorEastAsia"/>
                <w:sz w:val="22"/>
                <w:szCs w:val="22"/>
                <w:lang w:eastAsia="en-ZA"/>
              </w:rPr>
            </w:pPr>
            <w:r w:rsidRPr="0034040D">
              <w:rPr>
                <w:rFonts w:eastAsiaTheme="minorEastAsia"/>
                <w:sz w:val="22"/>
                <w:szCs w:val="22"/>
                <w:lang w:eastAsia="en-ZA"/>
              </w:rPr>
              <w:t>Mutume, G.</w:t>
            </w:r>
          </w:p>
        </w:tc>
        <w:tc>
          <w:tcPr>
            <w:tcW w:w="5659" w:type="dxa"/>
          </w:tcPr>
          <w:p w:rsidR="008B77BE" w:rsidRPr="005A5796" w:rsidRDefault="008B77BE" w:rsidP="00C175F5">
            <w:pPr>
              <w:spacing w:before="120" w:after="120"/>
              <w:rPr>
                <w:rFonts w:eastAsiaTheme="minorEastAsia"/>
                <w:sz w:val="22"/>
                <w:szCs w:val="22"/>
                <w:lang w:eastAsia="en-ZA"/>
              </w:rPr>
            </w:pPr>
            <w:r w:rsidRPr="005A5796">
              <w:rPr>
                <w:rFonts w:eastAsiaTheme="minorEastAsia"/>
                <w:sz w:val="22"/>
                <w:szCs w:val="22"/>
                <w:lang w:eastAsia="en-ZA"/>
              </w:rPr>
              <w:t xml:space="preserve">(2003). Mounting opposition to Northern farm subsidies: African cotton farmers battling to survive. </w:t>
            </w:r>
            <w:r w:rsidRPr="005A5796">
              <w:rPr>
                <w:rFonts w:eastAsiaTheme="minorEastAsia"/>
                <w:i/>
                <w:iCs/>
                <w:sz w:val="22"/>
                <w:szCs w:val="22"/>
                <w:lang w:eastAsia="en-ZA"/>
              </w:rPr>
              <w:t>Africa Recover</w:t>
            </w:r>
            <w:r w:rsidRPr="005A5796">
              <w:rPr>
                <w:rFonts w:eastAsiaTheme="minorEastAsia"/>
                <w:sz w:val="22"/>
                <w:szCs w:val="22"/>
                <w:lang w:eastAsia="en-ZA"/>
              </w:rPr>
              <w:t>, 17(1):18.</w:t>
            </w:r>
          </w:p>
        </w:tc>
      </w:tr>
      <w:tr w:rsidR="00AB7884" w:rsidRPr="0034040D" w:rsidTr="0021531A">
        <w:tc>
          <w:tcPr>
            <w:tcW w:w="2801" w:type="dxa"/>
          </w:tcPr>
          <w:p w:rsidR="00AB7884" w:rsidRPr="0034040D" w:rsidRDefault="00AB7884">
            <w:pPr>
              <w:autoSpaceDE w:val="0"/>
              <w:autoSpaceDN w:val="0"/>
              <w:adjustRightInd w:val="0"/>
              <w:spacing w:before="120" w:after="120"/>
              <w:rPr>
                <w:rFonts w:eastAsiaTheme="minorEastAsia"/>
                <w:sz w:val="22"/>
                <w:szCs w:val="22"/>
                <w:lang w:val="en-US"/>
              </w:rPr>
            </w:pPr>
            <w:r w:rsidRPr="0034040D">
              <w:rPr>
                <w:rFonts w:eastAsiaTheme="minorEastAsia"/>
                <w:sz w:val="22"/>
                <w:szCs w:val="22"/>
                <w:lang w:val="en-US"/>
              </w:rPr>
              <w:t>People’s Health Movement, Medact &amp; Global Equity Gauge Alliance.</w:t>
            </w:r>
          </w:p>
        </w:tc>
        <w:tc>
          <w:tcPr>
            <w:tcW w:w="5659" w:type="dxa"/>
          </w:tcPr>
          <w:p w:rsidR="00AB7884" w:rsidRPr="0034040D" w:rsidRDefault="00AB7884">
            <w:pPr>
              <w:autoSpaceDE w:val="0"/>
              <w:autoSpaceDN w:val="0"/>
              <w:adjustRightInd w:val="0"/>
              <w:spacing w:before="120" w:after="120"/>
              <w:rPr>
                <w:rFonts w:eastAsiaTheme="minorEastAsia"/>
                <w:sz w:val="22"/>
                <w:szCs w:val="22"/>
                <w:lang w:val="en-US"/>
              </w:rPr>
            </w:pPr>
            <w:r w:rsidRPr="0034040D">
              <w:rPr>
                <w:rFonts w:eastAsiaTheme="minorEastAsia"/>
                <w:sz w:val="22"/>
                <w:szCs w:val="22"/>
                <w:lang w:val="en-US"/>
              </w:rPr>
              <w:t xml:space="preserve">(2008). Reflections on Globalization, Trade, Food and Health. </w:t>
            </w:r>
            <w:r w:rsidRPr="0034040D">
              <w:rPr>
                <w:rFonts w:eastAsiaTheme="minorEastAsia"/>
                <w:i/>
                <w:iCs/>
                <w:sz w:val="22"/>
                <w:szCs w:val="22"/>
                <w:lang w:val="en-US"/>
              </w:rPr>
              <w:t xml:space="preserve">Global Health Watch </w:t>
            </w:r>
            <w:r w:rsidRPr="000112F7">
              <w:rPr>
                <w:rFonts w:eastAsiaTheme="minorEastAsia"/>
                <w:b/>
                <w:iCs/>
                <w:sz w:val="28"/>
                <w:szCs w:val="28"/>
                <w:lang w:val="en-US"/>
              </w:rPr>
              <w:t>2</w:t>
            </w:r>
            <w:r w:rsidRPr="0034040D">
              <w:rPr>
                <w:rFonts w:eastAsiaTheme="minorEastAsia"/>
                <w:i/>
                <w:iCs/>
                <w:sz w:val="22"/>
                <w:szCs w:val="22"/>
                <w:lang w:val="en-US"/>
              </w:rPr>
              <w:t xml:space="preserve"> (GHW2): An alternative World Health Report</w:t>
            </w:r>
            <w:r w:rsidRPr="0034040D">
              <w:rPr>
                <w:rFonts w:eastAsiaTheme="minorEastAsia"/>
                <w:sz w:val="22"/>
                <w:szCs w:val="22"/>
                <w:lang w:val="en-US"/>
              </w:rPr>
              <w:t>, Zed Books. London, New York: 126-139. [See DVD]</w:t>
            </w:r>
            <w:r w:rsidR="00591724">
              <w:rPr>
                <w:rFonts w:eastAsiaTheme="minorEastAsia"/>
                <w:sz w:val="22"/>
                <w:szCs w:val="22"/>
                <w:lang w:val="en-US"/>
              </w:rPr>
              <w:t>.</w:t>
            </w:r>
          </w:p>
        </w:tc>
      </w:tr>
      <w:tr w:rsidR="00AB7884" w:rsidRPr="0034040D" w:rsidTr="0021531A">
        <w:tc>
          <w:tcPr>
            <w:tcW w:w="2801" w:type="dxa"/>
          </w:tcPr>
          <w:p w:rsidR="00AB7884" w:rsidRPr="0034040D" w:rsidRDefault="00AB7884">
            <w:pPr>
              <w:autoSpaceDE w:val="0"/>
              <w:autoSpaceDN w:val="0"/>
              <w:adjustRightInd w:val="0"/>
              <w:spacing w:before="120" w:after="120"/>
              <w:rPr>
                <w:rFonts w:eastAsiaTheme="minorEastAsia"/>
                <w:sz w:val="22"/>
                <w:szCs w:val="22"/>
                <w:lang w:val="en-US"/>
              </w:rPr>
            </w:pPr>
            <w:r w:rsidRPr="0034040D">
              <w:rPr>
                <w:rFonts w:eastAsiaTheme="minorEastAsia"/>
                <w:sz w:val="22"/>
                <w:szCs w:val="22"/>
                <w:lang w:val="en-US"/>
              </w:rPr>
              <w:t>People’s Health Movement, Medact</w:t>
            </w:r>
            <w:r w:rsidRPr="0034040D">
              <w:rPr>
                <w:rFonts w:eastAsiaTheme="minorEastAsia"/>
                <w:sz w:val="22"/>
                <w:szCs w:val="22"/>
                <w:lang w:val="en-ZA" w:eastAsia="en-ZA"/>
              </w:rPr>
              <w:t>, Health Action International, Medicos International and Third World Network.</w:t>
            </w:r>
          </w:p>
        </w:tc>
        <w:tc>
          <w:tcPr>
            <w:tcW w:w="5659" w:type="dxa"/>
          </w:tcPr>
          <w:p w:rsidR="00AB7884" w:rsidRPr="005A5796" w:rsidRDefault="00AB7884">
            <w:pPr>
              <w:autoSpaceDE w:val="0"/>
              <w:autoSpaceDN w:val="0"/>
              <w:adjustRightInd w:val="0"/>
              <w:spacing w:before="120" w:after="120"/>
              <w:rPr>
                <w:rFonts w:eastAsiaTheme="minorEastAsia"/>
                <w:sz w:val="22"/>
                <w:szCs w:val="22"/>
                <w:lang w:val="en-US"/>
              </w:rPr>
            </w:pPr>
            <w:r w:rsidRPr="005A5796">
              <w:rPr>
                <w:rFonts w:eastAsiaTheme="minorEastAsia"/>
                <w:sz w:val="22"/>
                <w:szCs w:val="22"/>
                <w:lang w:val="en-US"/>
              </w:rPr>
              <w:t xml:space="preserve">(2011). The global food crisis. </w:t>
            </w:r>
            <w:r w:rsidRPr="005A5796">
              <w:rPr>
                <w:rFonts w:eastAsiaTheme="minorEastAsia"/>
                <w:i/>
                <w:iCs/>
                <w:sz w:val="22"/>
                <w:szCs w:val="22"/>
                <w:lang w:val="en-US"/>
              </w:rPr>
              <w:t xml:space="preserve">Global Health Watch </w:t>
            </w:r>
            <w:r w:rsidRPr="000112F7">
              <w:rPr>
                <w:rFonts w:eastAsiaTheme="minorEastAsia"/>
                <w:b/>
                <w:iCs/>
                <w:sz w:val="28"/>
                <w:szCs w:val="28"/>
                <w:lang w:val="en-US"/>
              </w:rPr>
              <w:t>3</w:t>
            </w:r>
            <w:r w:rsidRPr="005A5796">
              <w:rPr>
                <w:rFonts w:eastAsiaTheme="minorEastAsia"/>
                <w:i/>
                <w:iCs/>
                <w:sz w:val="22"/>
                <w:szCs w:val="22"/>
                <w:lang w:val="en-US"/>
              </w:rPr>
              <w:t>: An alternative World Health Report</w:t>
            </w:r>
            <w:r w:rsidRPr="005A5796">
              <w:rPr>
                <w:rFonts w:eastAsiaTheme="minorEastAsia"/>
                <w:sz w:val="22"/>
                <w:szCs w:val="22"/>
                <w:lang w:val="en-US"/>
              </w:rPr>
              <w:t>, Zed Books: London, New York: 165-177 [See DVD].</w:t>
            </w:r>
          </w:p>
        </w:tc>
      </w:tr>
    </w:tbl>
    <w:p w:rsidR="00AB7884" w:rsidRDefault="00AB7884">
      <w:pPr>
        <w:pStyle w:val="Heading2"/>
        <w:spacing w:before="240" w:after="120"/>
        <w:rPr>
          <w:rFonts w:ascii="Trebuchet MS" w:hAnsi="Trebuchet MS" w:cs="Trebuchet MS"/>
          <w:sz w:val="22"/>
          <w:szCs w:val="22"/>
          <w:lang w:eastAsia="en-ZA"/>
        </w:rPr>
      </w:pPr>
    </w:p>
    <w:p w:rsidR="00AB7884" w:rsidRDefault="00AB7884">
      <w:pPr>
        <w:pStyle w:val="Heading2"/>
        <w:spacing w:before="240" w:after="120"/>
        <w:rPr>
          <w:rFonts w:ascii="Trebuchet MS" w:hAnsi="Trebuchet MS" w:cs="Trebuchet MS"/>
          <w:color w:val="FF0000"/>
          <w:sz w:val="24"/>
          <w:szCs w:val="24"/>
        </w:rPr>
      </w:pPr>
      <w:r>
        <w:rPr>
          <w:rFonts w:ascii="Trebuchet MS" w:hAnsi="Trebuchet MS" w:cs="Trebuchet MS"/>
          <w:sz w:val="22"/>
          <w:szCs w:val="22"/>
          <w:lang w:eastAsia="en-ZA"/>
        </w:rPr>
        <w:br w:type="page"/>
      </w:r>
      <w:r>
        <w:rPr>
          <w:rFonts w:ascii="Trebuchet MS" w:hAnsi="Trebuchet MS" w:cs="Trebuchet MS"/>
          <w:sz w:val="28"/>
          <w:szCs w:val="28"/>
        </w:rPr>
        <w:lastRenderedPageBreak/>
        <w:t>3</w:t>
      </w:r>
      <w:r>
        <w:rPr>
          <w:rFonts w:ascii="Trebuchet MS" w:hAnsi="Trebuchet MS" w:cs="Trebuchet MS"/>
          <w:sz w:val="28"/>
          <w:szCs w:val="28"/>
        </w:rPr>
        <w:tab/>
        <w:t xml:space="preserve">CASE STUDY: SOUTH AFRICA’S DISEASE PROFILE </w:t>
      </w:r>
    </w:p>
    <w:p w:rsidR="00AB7884" w:rsidRDefault="00717A10">
      <w:pPr>
        <w:rPr>
          <w:rFonts w:ascii="Trebuchet MS" w:hAnsi="Trebuchet MS" w:cs="Trebuchet MS"/>
          <w:b/>
          <w:bCs/>
          <w:sz w:val="18"/>
          <w:szCs w:val="18"/>
        </w:rPr>
      </w:pPr>
      <w:r w:rsidRPr="00717A10">
        <w:rPr>
          <w:color w:val="FF0000"/>
          <w:sz w:val="24"/>
          <w:szCs w:val="24"/>
        </w:rPr>
        <w:pict>
          <v:rect id="_x0000_i1046" style="width:425.2pt;height:2pt" o:hralign="center" o:hrstd="t" o:hrnoshade="t" o:hr="t" fillcolor="black" stroked="f"/>
        </w:pict>
      </w:r>
    </w:p>
    <w:p w:rsidR="00AB7884" w:rsidRDefault="00AB7884" w:rsidP="0021531A">
      <w:pPr>
        <w:pStyle w:val="BodyText"/>
        <w:tabs>
          <w:tab w:val="left" w:pos="540"/>
        </w:tabs>
        <w:spacing w:before="120"/>
        <w:rPr>
          <w:lang w:eastAsia="en-US"/>
        </w:rPr>
      </w:pPr>
      <w:r>
        <w:rPr>
          <w:lang w:eastAsia="en-US"/>
        </w:rPr>
        <w:t xml:space="preserve">In 1971, Abdel Omran (2005) outlined a ‘traditional model-transition’ which described the typical change in disease profile that occurs in a country as it goes through the process of modernisation (see Figure 2.2.1). The model showed that historically, as economic development occurs there is a gradual shift from poverty-related diseases, or so-called ‘pre-transitional diseases’, to Non-Communicable Disease (NCD) patterns (those related to more Western lifestyles). </w:t>
      </w:r>
    </w:p>
    <w:p w:rsidR="00AB7884" w:rsidRDefault="00AB7884">
      <w:pPr>
        <w:tabs>
          <w:tab w:val="left" w:pos="540"/>
        </w:tabs>
        <w:rPr>
          <w:sz w:val="22"/>
          <w:szCs w:val="22"/>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AB7884" w:rsidRPr="0034040D" w:rsidTr="0021531A">
        <w:tc>
          <w:tcPr>
            <w:tcW w:w="8460" w:type="dxa"/>
          </w:tcPr>
          <w:p w:rsidR="00AB7884" w:rsidRPr="0034040D" w:rsidRDefault="00AB7884">
            <w:pPr>
              <w:tabs>
                <w:tab w:val="left" w:pos="540"/>
              </w:tabs>
              <w:spacing w:before="120" w:after="120"/>
              <w:rPr>
                <w:rFonts w:ascii="Trebuchet MS" w:eastAsiaTheme="minorEastAsia" w:hAnsi="Trebuchet MS" w:cs="Trebuchet MS"/>
                <w:b/>
                <w:bCs/>
                <w:lang w:val="en-ZA"/>
              </w:rPr>
            </w:pPr>
            <w:r w:rsidRPr="0034040D">
              <w:rPr>
                <w:rFonts w:ascii="Trebuchet MS" w:eastAsiaTheme="minorEastAsia" w:hAnsi="Trebuchet MS" w:cs="Trebuchet MS"/>
                <w:b/>
                <w:bCs/>
                <w:lang w:val="en-ZA"/>
              </w:rPr>
              <w:t>GLOSSARY</w:t>
            </w:r>
          </w:p>
          <w:p w:rsidR="00AB7884" w:rsidRPr="0034040D" w:rsidRDefault="00AB7884">
            <w:pPr>
              <w:tabs>
                <w:tab w:val="left" w:pos="540"/>
              </w:tabs>
              <w:spacing w:before="120" w:after="120"/>
              <w:rPr>
                <w:rFonts w:eastAsiaTheme="minorEastAsia"/>
                <w:sz w:val="22"/>
                <w:szCs w:val="22"/>
                <w:lang w:val="en-ZA"/>
              </w:rPr>
            </w:pPr>
            <w:r w:rsidRPr="0034040D">
              <w:rPr>
                <w:rFonts w:ascii="Trebuchet MS" w:eastAsiaTheme="minorEastAsia" w:hAnsi="Trebuchet MS" w:cs="Trebuchet MS"/>
                <w:b/>
                <w:bCs/>
                <w:lang w:val="en-ZA"/>
              </w:rPr>
              <w:t xml:space="preserve">Pre-transitional diseases: </w:t>
            </w:r>
            <w:r w:rsidRPr="0034040D">
              <w:rPr>
                <w:rFonts w:ascii="Trebuchet MS" w:eastAsiaTheme="minorEastAsia" w:hAnsi="Trebuchet MS" w:cs="Trebuchet MS"/>
                <w:lang w:val="en-ZA"/>
              </w:rPr>
              <w:t>Those diseases related to under-nutrition and infectious diseases, which can be tracked back to poverty.</w:t>
            </w:r>
          </w:p>
        </w:tc>
      </w:tr>
    </w:tbl>
    <w:p w:rsidR="00AB7884" w:rsidRDefault="00AB7884">
      <w:pPr>
        <w:tabs>
          <w:tab w:val="left" w:pos="540"/>
        </w:tabs>
        <w:rPr>
          <w:sz w:val="22"/>
          <w:szCs w:val="22"/>
          <w:lang w:val="en-ZA"/>
        </w:rPr>
      </w:pPr>
    </w:p>
    <w:p w:rsidR="00AB7884" w:rsidRDefault="00AB7884">
      <w:pPr>
        <w:tabs>
          <w:tab w:val="left" w:pos="540"/>
        </w:tabs>
        <w:spacing w:before="120" w:after="120"/>
        <w:rPr>
          <w:rFonts w:ascii="Trebuchet MS" w:hAnsi="Trebuchet MS" w:cs="Trebuchet MS"/>
          <w:b/>
          <w:bCs/>
          <w:sz w:val="22"/>
          <w:szCs w:val="22"/>
          <w:lang w:val="en-ZA"/>
        </w:rPr>
      </w:pPr>
      <w:r>
        <w:rPr>
          <w:rFonts w:ascii="Trebuchet MS" w:hAnsi="Trebuchet MS" w:cs="Trebuchet MS"/>
          <w:b/>
          <w:bCs/>
          <w:sz w:val="22"/>
          <w:szCs w:val="22"/>
          <w:lang w:val="en-ZA"/>
        </w:rPr>
        <w:t xml:space="preserve">Figure 2.2.1 The risk transition </w:t>
      </w:r>
    </w:p>
    <w:p w:rsidR="00AB7884" w:rsidRDefault="00717A10">
      <w:pPr>
        <w:rPr>
          <w:sz w:val="22"/>
          <w:szCs w:val="22"/>
          <w:lang w:val="en-ZA"/>
        </w:rPr>
      </w:pPr>
      <w:r w:rsidRPr="00717A10">
        <w:rPr>
          <w:sz w:val="22"/>
          <w:szCs w:val="22"/>
          <w:lang w:val="en-ZA"/>
        </w:rPr>
        <w:pict>
          <v:shape id="_x0000_i1047" type="#_x0000_t75" style="width:386.25pt;height:264pt">
            <v:imagedata r:id="rId30" o:title=""/>
          </v:shape>
        </w:pict>
      </w:r>
    </w:p>
    <w:p w:rsidR="00AB7884" w:rsidRDefault="00AB7884">
      <w:pPr>
        <w:spacing w:before="120" w:after="120"/>
        <w:outlineLvl w:val="1"/>
        <w:rPr>
          <w:sz w:val="22"/>
          <w:szCs w:val="22"/>
          <w:lang w:val="en-ZA"/>
        </w:rPr>
      </w:pPr>
      <w:r>
        <w:rPr>
          <w:b/>
          <w:bCs/>
          <w:i/>
          <w:iCs/>
          <w:lang w:val="en-ZA"/>
        </w:rPr>
        <w:t>Source</w:t>
      </w:r>
      <w:r>
        <w:rPr>
          <w:lang w:val="en-ZA"/>
        </w:rPr>
        <w:t>: WHO. (2009). Global Health Risks: mortality and burden of disease attributable to selected major risks.</w:t>
      </w:r>
    </w:p>
    <w:p w:rsidR="00AB7884" w:rsidRDefault="00AB7884">
      <w:pPr>
        <w:rPr>
          <w:b/>
          <w:bCs/>
          <w:sz w:val="22"/>
          <w:szCs w:val="22"/>
          <w:lang w:val="en-US"/>
        </w:rPr>
      </w:pPr>
      <w:r>
        <w:rPr>
          <w:sz w:val="22"/>
          <w:szCs w:val="22"/>
          <w:lang w:val="en-ZA"/>
        </w:rPr>
        <w:t>However, various theorists (including Omran himself), have argued that the traditional-model transition no longer applies. Frenk,</w:t>
      </w:r>
      <w:r>
        <w:rPr>
          <w:rFonts w:ascii="Times New Roman" w:hAnsi="Times New Roman" w:cs="Times New Roman"/>
          <w:sz w:val="22"/>
          <w:szCs w:val="22"/>
        </w:rPr>
        <w:t xml:space="preserve"> </w:t>
      </w:r>
      <w:bookmarkStart w:id="1" w:name="pgfId_1178252"/>
      <w:bookmarkEnd w:id="1"/>
      <w:r>
        <w:rPr>
          <w:rFonts w:ascii="Times New Roman" w:hAnsi="Times New Roman" w:cs="Times New Roman"/>
          <w:sz w:val="22"/>
          <w:szCs w:val="22"/>
        </w:rPr>
        <w:t>et al</w:t>
      </w:r>
      <w:r>
        <w:rPr>
          <w:sz w:val="22"/>
          <w:szCs w:val="22"/>
          <w:lang w:val="en-ZA"/>
        </w:rPr>
        <w:t xml:space="preserve"> (1989) provided an alternative explanation with their ‘protracted/polarised model’. They argued that what we are seeing today is a more complex picture of the nutritional status of populations, resulting in a mixed disease pattern. In the same country, in some population groups there is the traditional decrease in pre-transitional diseases and an increase in NCDs; while in other population groups there exists a ‘dual burden’ of </w:t>
      </w:r>
      <w:r>
        <w:rPr>
          <w:i/>
          <w:iCs/>
          <w:sz w:val="22"/>
          <w:szCs w:val="22"/>
          <w:lang w:val="en-ZA"/>
        </w:rPr>
        <w:t>both</w:t>
      </w:r>
      <w:r>
        <w:rPr>
          <w:sz w:val="22"/>
          <w:szCs w:val="22"/>
          <w:lang w:val="en-ZA"/>
        </w:rPr>
        <w:t xml:space="preserve"> pre-transitional diseases </w:t>
      </w:r>
      <w:r>
        <w:rPr>
          <w:i/>
          <w:iCs/>
          <w:sz w:val="22"/>
          <w:szCs w:val="22"/>
          <w:lang w:val="en-ZA"/>
        </w:rPr>
        <w:t>and</w:t>
      </w:r>
      <w:r>
        <w:rPr>
          <w:sz w:val="22"/>
          <w:szCs w:val="22"/>
          <w:lang w:val="en-ZA"/>
        </w:rPr>
        <w:t xml:space="preserve"> NCDs. This mixed disease pattern continues over a protracted period of time. “As a result, may low- and middle-income countries now face a growing burden from the modern risks to health, while still fighting an unfinished battle with the traditional risks to </w:t>
      </w:r>
      <w:r>
        <w:rPr>
          <w:sz w:val="22"/>
          <w:szCs w:val="22"/>
          <w:lang w:val="en-ZA"/>
        </w:rPr>
        <w:lastRenderedPageBreak/>
        <w:t xml:space="preserve">health” (WHO, 2009). </w:t>
      </w:r>
      <w:r>
        <w:rPr>
          <w:sz w:val="22"/>
          <w:szCs w:val="22"/>
          <w:lang w:val="en-ZA"/>
        </w:rPr>
        <w:br/>
      </w:r>
    </w:p>
    <w:p w:rsidR="00AB7884" w:rsidRDefault="00AB7884">
      <w:pPr>
        <w:autoSpaceDE w:val="0"/>
        <w:autoSpaceDN w:val="0"/>
        <w:adjustRightInd w:val="0"/>
        <w:rPr>
          <w:sz w:val="22"/>
          <w:szCs w:val="22"/>
        </w:rPr>
      </w:pPr>
      <w:r>
        <w:rPr>
          <w:sz w:val="22"/>
          <w:szCs w:val="22"/>
        </w:rPr>
        <w:t xml:space="preserve">South Africa is a good example of a middle-income country where the health transition towards a more Western lifestyle has been disrupted, and where we see a mixed disease profile </w:t>
      </w:r>
      <w:r>
        <w:rPr>
          <w:i/>
          <w:iCs/>
          <w:sz w:val="22"/>
          <w:szCs w:val="22"/>
        </w:rPr>
        <w:t>across</w:t>
      </w:r>
      <w:r>
        <w:rPr>
          <w:sz w:val="22"/>
          <w:szCs w:val="22"/>
        </w:rPr>
        <w:t xml:space="preserve"> provinces and population groups, as well as </w:t>
      </w:r>
      <w:r>
        <w:rPr>
          <w:i/>
          <w:iCs/>
          <w:sz w:val="22"/>
          <w:szCs w:val="22"/>
        </w:rPr>
        <w:t>within</w:t>
      </w:r>
      <w:r>
        <w:rPr>
          <w:sz w:val="22"/>
          <w:szCs w:val="22"/>
        </w:rPr>
        <w:t xml:space="preserve"> the same population group. For example, Chopra &amp; Sanders (2004) report that in South Africa:</w:t>
      </w:r>
      <w:r>
        <w:rPr>
          <w:sz w:val="22"/>
          <w:szCs w:val="22"/>
        </w:rPr>
        <w:br/>
      </w:r>
    </w:p>
    <w:p w:rsidR="00AB7884" w:rsidRDefault="00AB7884" w:rsidP="007F44B4">
      <w:pPr>
        <w:numPr>
          <w:ilvl w:val="0"/>
          <w:numId w:val="30"/>
        </w:numPr>
        <w:autoSpaceDE w:val="0"/>
        <w:autoSpaceDN w:val="0"/>
        <w:adjustRightInd w:val="0"/>
        <w:rPr>
          <w:sz w:val="22"/>
          <w:szCs w:val="22"/>
          <w:lang w:val="en-US"/>
        </w:rPr>
      </w:pPr>
      <w:r>
        <w:rPr>
          <w:sz w:val="22"/>
          <w:szCs w:val="22"/>
        </w:rPr>
        <w:t xml:space="preserve">in 1996, 30% of deaths were as a result of infectious diseases, </w:t>
      </w:r>
      <w:r>
        <w:rPr>
          <w:sz w:val="22"/>
          <w:szCs w:val="22"/>
          <w:lang w:val="en-US"/>
        </w:rPr>
        <w:t>together with maternal and malnutrition related conditions</w:t>
      </w:r>
    </w:p>
    <w:p w:rsidR="00AB7884" w:rsidRDefault="00AB7884" w:rsidP="007F44B4">
      <w:pPr>
        <w:numPr>
          <w:ilvl w:val="0"/>
          <w:numId w:val="30"/>
        </w:numPr>
        <w:autoSpaceDE w:val="0"/>
        <w:autoSpaceDN w:val="0"/>
        <w:adjustRightInd w:val="0"/>
        <w:rPr>
          <w:sz w:val="22"/>
          <w:szCs w:val="22"/>
          <w:lang w:val="en-ZA"/>
        </w:rPr>
      </w:pPr>
      <w:r>
        <w:rPr>
          <w:sz w:val="22"/>
          <w:szCs w:val="22"/>
          <w:lang w:val="en-US"/>
        </w:rPr>
        <w:t>infant and young child mortality rate was extremely high</w:t>
      </w:r>
    </w:p>
    <w:p w:rsidR="00AB7884" w:rsidRDefault="00AB7884" w:rsidP="007F44B4">
      <w:pPr>
        <w:numPr>
          <w:ilvl w:val="0"/>
          <w:numId w:val="30"/>
        </w:numPr>
        <w:autoSpaceDE w:val="0"/>
        <w:autoSpaceDN w:val="0"/>
        <w:adjustRightInd w:val="0"/>
        <w:rPr>
          <w:sz w:val="22"/>
          <w:szCs w:val="22"/>
          <w:lang w:val="en-ZA"/>
        </w:rPr>
      </w:pPr>
      <w:r>
        <w:rPr>
          <w:sz w:val="22"/>
          <w:szCs w:val="22"/>
          <w:lang w:val="en-US"/>
        </w:rPr>
        <w:t xml:space="preserve">there were high incidents of morbidity and mortality from trauma and violence, particularly amongst the poor, and </w:t>
      </w:r>
    </w:p>
    <w:p w:rsidR="00AB7884" w:rsidRDefault="00AB7884" w:rsidP="007F44B4">
      <w:pPr>
        <w:numPr>
          <w:ilvl w:val="0"/>
          <w:numId w:val="30"/>
        </w:numPr>
        <w:autoSpaceDE w:val="0"/>
        <w:autoSpaceDN w:val="0"/>
        <w:adjustRightInd w:val="0"/>
        <w:rPr>
          <w:sz w:val="22"/>
          <w:szCs w:val="22"/>
          <w:lang w:val="en-ZA"/>
        </w:rPr>
      </w:pPr>
      <w:r>
        <w:rPr>
          <w:sz w:val="22"/>
          <w:szCs w:val="22"/>
          <w:lang w:val="en-US"/>
        </w:rPr>
        <w:t xml:space="preserve">the increase in HIV/AIDS impacted on the mortality of young men and women. </w:t>
      </w:r>
    </w:p>
    <w:p w:rsidR="00AB7884" w:rsidRDefault="00AB7884" w:rsidP="007F44B4">
      <w:pPr>
        <w:numPr>
          <w:ilvl w:val="0"/>
          <w:numId w:val="30"/>
        </w:numPr>
        <w:autoSpaceDE w:val="0"/>
        <w:autoSpaceDN w:val="0"/>
        <w:adjustRightInd w:val="0"/>
        <w:rPr>
          <w:sz w:val="22"/>
          <w:szCs w:val="22"/>
          <w:lang w:val="en-ZA"/>
        </w:rPr>
      </w:pPr>
      <w:r>
        <w:rPr>
          <w:sz w:val="22"/>
          <w:szCs w:val="22"/>
          <w:lang w:val="en-US"/>
        </w:rPr>
        <w:t xml:space="preserve">At the same time, in 1996, </w:t>
      </w:r>
      <w:r>
        <w:rPr>
          <w:sz w:val="22"/>
          <w:szCs w:val="22"/>
          <w:lang w:val="en-ZA"/>
        </w:rPr>
        <w:t xml:space="preserve">31,9% of deaths in both the rich and poor communities in South Africa were as a result of NCDs. </w:t>
      </w:r>
    </w:p>
    <w:p w:rsidR="00AB7884" w:rsidRDefault="00AB7884">
      <w:pPr>
        <w:autoSpaceDE w:val="0"/>
        <w:autoSpaceDN w:val="0"/>
        <w:adjustRightInd w:val="0"/>
        <w:rPr>
          <w:sz w:val="22"/>
          <w:szCs w:val="22"/>
          <w:lang w:val="en-ZA"/>
        </w:rPr>
      </w:pPr>
    </w:p>
    <w:p w:rsidR="00AB7884" w:rsidRDefault="00AB7884">
      <w:pPr>
        <w:autoSpaceDE w:val="0"/>
        <w:autoSpaceDN w:val="0"/>
        <w:adjustRightInd w:val="0"/>
        <w:rPr>
          <w:sz w:val="22"/>
          <w:szCs w:val="22"/>
          <w:lang w:val="en-ZA"/>
        </w:rPr>
      </w:pPr>
      <w:r>
        <w:rPr>
          <w:sz w:val="22"/>
          <w:szCs w:val="22"/>
          <w:lang w:val="en-ZA"/>
        </w:rPr>
        <w:t>This pattern seems to fit Frenk</w:t>
      </w:r>
      <w:r>
        <w:rPr>
          <w:i/>
          <w:iCs/>
          <w:sz w:val="22"/>
          <w:szCs w:val="22"/>
          <w:lang w:val="en-ZA"/>
        </w:rPr>
        <w:t xml:space="preserve"> et al</w:t>
      </w:r>
      <w:r>
        <w:rPr>
          <w:sz w:val="22"/>
          <w:szCs w:val="22"/>
          <w:lang w:val="en-ZA"/>
        </w:rPr>
        <w:t>’s (1989) ‘protracted/polarised model’.</w:t>
      </w:r>
    </w:p>
    <w:p w:rsidR="00AB7884" w:rsidRDefault="00AB7884">
      <w:pPr>
        <w:autoSpaceDE w:val="0"/>
        <w:autoSpaceDN w:val="0"/>
        <w:adjustRightInd w:val="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34040D" w:rsidTr="0021531A">
        <w:tc>
          <w:tcPr>
            <w:tcW w:w="8190" w:type="dxa"/>
          </w:tcPr>
          <w:p w:rsidR="00AB7884" w:rsidRPr="0034040D" w:rsidRDefault="00AB7884">
            <w:pPr>
              <w:autoSpaceDE w:val="0"/>
              <w:autoSpaceDN w:val="0"/>
              <w:adjustRightInd w:val="0"/>
              <w:spacing w:before="12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t>TASK 1</w:t>
            </w:r>
            <w:r w:rsidRPr="0034040D">
              <w:rPr>
                <w:rFonts w:eastAsiaTheme="minorEastAsia"/>
                <w:b/>
                <w:bCs/>
                <w:sz w:val="22"/>
                <w:szCs w:val="22"/>
                <w:lang w:val="en-ZA"/>
              </w:rPr>
              <w:t>─</w:t>
            </w:r>
            <w:r w:rsidRPr="0034040D">
              <w:rPr>
                <w:rFonts w:ascii="Trebuchet MS" w:eastAsiaTheme="minorEastAsia" w:hAnsi="Trebuchet MS" w:cs="Trebuchet MS"/>
                <w:b/>
                <w:bCs/>
                <w:sz w:val="22"/>
                <w:szCs w:val="22"/>
                <w:lang w:val="en-ZA"/>
              </w:rPr>
              <w:t xml:space="preserve"> Read about the transition in South Africa and the impact on mortality</w:t>
            </w:r>
          </w:p>
          <w:p w:rsidR="00AB7884" w:rsidRPr="0034040D" w:rsidRDefault="00AB7884">
            <w:pPr>
              <w:autoSpaceDE w:val="0"/>
              <w:autoSpaceDN w:val="0"/>
              <w:adjustRightInd w:val="0"/>
              <w:spacing w:before="12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t xml:space="preserve">READING </w:t>
            </w:r>
          </w:p>
          <w:p w:rsidR="00AB7884" w:rsidRPr="0034040D" w:rsidRDefault="00AB7884">
            <w:pPr>
              <w:tabs>
                <w:tab w:val="left" w:pos="2354"/>
              </w:tabs>
              <w:spacing w:after="200"/>
              <w:rPr>
                <w:rFonts w:ascii="Trebuchet MS" w:eastAsiaTheme="minorEastAsia" w:hAnsi="Trebuchet MS" w:cs="Trebuchet MS"/>
                <w:color w:val="000000"/>
                <w:sz w:val="22"/>
                <w:szCs w:val="22"/>
                <w:lang w:val="en-ZA"/>
              </w:rPr>
            </w:pPr>
            <w:r w:rsidRPr="0034040D">
              <w:rPr>
                <w:rFonts w:ascii="Trebuchet MS" w:eastAsiaTheme="minorEastAsia" w:hAnsi="Trebuchet MS" w:cs="Trebuchet MS"/>
                <w:color w:val="000000"/>
                <w:sz w:val="22"/>
                <w:szCs w:val="22"/>
                <w:lang w:val="en-ZA"/>
              </w:rPr>
              <w:t xml:space="preserve">Chopra, M. &amp; Sanders, D. (2004). From Apartheid to Globalisation: Health and Social Change in South Africa. </w:t>
            </w:r>
            <w:r w:rsidRPr="0034040D">
              <w:rPr>
                <w:rFonts w:ascii="Trebuchet MS" w:eastAsiaTheme="minorEastAsia" w:hAnsi="Trebuchet MS" w:cs="Trebuchet MS"/>
                <w:sz w:val="22"/>
                <w:szCs w:val="22"/>
              </w:rPr>
              <w:t xml:space="preserve">In: M. Chopra, J. Sundin &amp; S. Willner (eds.), Health and Social Change. Past and Present Evidence. </w:t>
            </w:r>
            <w:r w:rsidRPr="0034040D">
              <w:rPr>
                <w:rFonts w:ascii="Trebuchet MS" w:eastAsiaTheme="minorEastAsia" w:hAnsi="Trebuchet MS" w:cs="Trebuchet MS"/>
                <w:i/>
                <w:iCs/>
                <w:sz w:val="22"/>
                <w:szCs w:val="22"/>
              </w:rPr>
              <w:t xml:space="preserve">Hygiea Internationalis. An Interdisciplinary Journal for the History of Public Health. </w:t>
            </w:r>
            <w:r w:rsidRPr="0034040D">
              <w:rPr>
                <w:rFonts w:ascii="Trebuchet MS" w:eastAsiaTheme="minorEastAsia" w:hAnsi="Trebuchet MS" w:cs="Trebuchet MS"/>
                <w:sz w:val="22"/>
                <w:szCs w:val="22"/>
              </w:rPr>
              <w:t>Special Issue; 4(1): 153</w:t>
            </w:r>
            <w:r w:rsidRPr="0034040D">
              <w:rPr>
                <w:rFonts w:ascii="Calibri" w:eastAsiaTheme="minorEastAsia" w:hAnsi="Calibri" w:cs="Calibri"/>
                <w:sz w:val="22"/>
                <w:szCs w:val="22"/>
              </w:rPr>
              <w:t>-</w:t>
            </w:r>
            <w:r w:rsidRPr="0034040D">
              <w:rPr>
                <w:rFonts w:ascii="Trebuchet MS" w:eastAsiaTheme="minorEastAsia" w:hAnsi="Trebuchet MS" w:cs="Trebuchet MS"/>
                <w:sz w:val="22"/>
                <w:szCs w:val="22"/>
              </w:rPr>
              <w:t>174.</w:t>
            </w:r>
          </w:p>
          <w:p w:rsidR="00AB7884" w:rsidRPr="0034040D" w:rsidRDefault="00AB7884">
            <w:pPr>
              <w:tabs>
                <w:tab w:val="left" w:pos="2354"/>
              </w:tabs>
              <w:spacing w:after="120"/>
              <w:rPr>
                <w:rFonts w:ascii="Trebuchet MS" w:eastAsiaTheme="minorEastAsia" w:hAnsi="Trebuchet MS" w:cs="Trebuchet MS"/>
                <w:color w:val="000000"/>
                <w:sz w:val="22"/>
                <w:szCs w:val="22"/>
                <w:lang w:val="en-ZA"/>
              </w:rPr>
            </w:pPr>
            <w:r w:rsidRPr="0034040D">
              <w:rPr>
                <w:rFonts w:ascii="Trebuchet MS" w:eastAsiaTheme="minorEastAsia" w:hAnsi="Trebuchet MS" w:cs="Trebuchet MS"/>
                <w:color w:val="000000"/>
                <w:sz w:val="22"/>
                <w:szCs w:val="22"/>
                <w:lang w:val="en-ZA"/>
              </w:rPr>
              <w:t>As you read the above article, make notes about the following:</w:t>
            </w:r>
          </w:p>
          <w:p w:rsidR="00AB7884" w:rsidRPr="0034040D" w:rsidRDefault="00AB7884">
            <w:pPr>
              <w:tabs>
                <w:tab w:val="left" w:pos="2354"/>
              </w:tabs>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1. What macroeconomic policy was adopted by the ANC government in 1996 and why was it adopted?</w:t>
            </w:r>
          </w:p>
          <w:p w:rsidR="00AB7884" w:rsidRPr="0034040D" w:rsidRDefault="00AB7884">
            <w:pPr>
              <w:tabs>
                <w:tab w:val="left" w:pos="2354"/>
              </w:tabs>
              <w:rPr>
                <w:rFonts w:ascii="Trebuchet MS" w:eastAsiaTheme="minorEastAsia" w:hAnsi="Trebuchet MS" w:cs="Trebuchet MS"/>
                <w:color w:val="000000"/>
                <w:sz w:val="22"/>
                <w:szCs w:val="22"/>
                <w:lang w:val="en-ZA"/>
              </w:rPr>
            </w:pPr>
            <w:r w:rsidRPr="0034040D">
              <w:rPr>
                <w:rFonts w:ascii="Trebuchet MS" w:eastAsiaTheme="minorEastAsia" w:hAnsi="Trebuchet MS" w:cs="Trebuchet MS"/>
                <w:sz w:val="22"/>
                <w:szCs w:val="22"/>
                <w:lang w:val="en-ZA"/>
              </w:rPr>
              <w:t xml:space="preserve">2. </w:t>
            </w:r>
            <w:r w:rsidRPr="0034040D">
              <w:rPr>
                <w:rFonts w:ascii="Trebuchet MS" w:eastAsiaTheme="minorEastAsia" w:hAnsi="Trebuchet MS" w:cs="Trebuchet MS"/>
                <w:color w:val="000000"/>
                <w:sz w:val="22"/>
                <w:szCs w:val="22"/>
                <w:lang w:val="en-ZA"/>
              </w:rPr>
              <w:t>What were the consequences of this policy for employment, income inequality and the distribution of basic facilities?</w:t>
            </w:r>
          </w:p>
          <w:p w:rsidR="00AB7884" w:rsidRPr="0034040D" w:rsidRDefault="00AB7884">
            <w:pPr>
              <w:tabs>
                <w:tab w:val="left" w:pos="2354"/>
              </w:tabs>
              <w:rPr>
                <w:rFonts w:ascii="Trebuchet MS" w:eastAsiaTheme="minorEastAsia" w:hAnsi="Trebuchet MS" w:cs="Trebuchet MS"/>
                <w:sz w:val="22"/>
                <w:szCs w:val="22"/>
                <w:lang w:val="en-ZA"/>
              </w:rPr>
            </w:pPr>
            <w:r w:rsidRPr="0034040D">
              <w:rPr>
                <w:rFonts w:ascii="Trebuchet MS" w:eastAsiaTheme="minorEastAsia" w:hAnsi="Trebuchet MS" w:cs="Trebuchet MS"/>
                <w:color w:val="000000"/>
                <w:sz w:val="22"/>
                <w:szCs w:val="22"/>
                <w:lang w:val="en-ZA"/>
              </w:rPr>
              <w:t>3. Why do the authors describe development in South Africa as ‘combined and uneven’?</w:t>
            </w:r>
            <w:r w:rsidRPr="0034040D">
              <w:rPr>
                <w:rFonts w:ascii="Trebuchet MS" w:eastAsiaTheme="minorEastAsia" w:hAnsi="Trebuchet MS" w:cs="Trebuchet MS"/>
                <w:sz w:val="22"/>
                <w:szCs w:val="22"/>
                <w:lang w:val="en-ZA"/>
              </w:rPr>
              <w:t xml:space="preserve"> </w:t>
            </w:r>
          </w:p>
          <w:p w:rsidR="00AB7884" w:rsidRPr="0034040D" w:rsidRDefault="00AB7884">
            <w:pPr>
              <w:tabs>
                <w:tab w:val="left" w:pos="2354"/>
              </w:tabs>
              <w:rPr>
                <w:rFonts w:ascii="Trebuchet MS" w:eastAsiaTheme="minorEastAsia" w:hAnsi="Trebuchet MS" w:cs="Trebuchet MS"/>
                <w:color w:val="000000"/>
                <w:sz w:val="22"/>
                <w:szCs w:val="22"/>
                <w:lang w:val="en-ZA"/>
              </w:rPr>
            </w:pPr>
            <w:r w:rsidRPr="0034040D">
              <w:rPr>
                <w:rFonts w:ascii="Trebuchet MS" w:eastAsiaTheme="minorEastAsia" w:hAnsi="Trebuchet MS" w:cs="Trebuchet MS"/>
                <w:sz w:val="22"/>
                <w:szCs w:val="22"/>
                <w:lang w:val="en-ZA"/>
              </w:rPr>
              <w:t>4. What are t</w:t>
            </w:r>
            <w:r w:rsidRPr="0034040D">
              <w:rPr>
                <w:rFonts w:ascii="Trebuchet MS" w:eastAsiaTheme="minorEastAsia" w:hAnsi="Trebuchet MS" w:cs="Trebuchet MS"/>
                <w:color w:val="000000"/>
                <w:sz w:val="22"/>
                <w:szCs w:val="22"/>
                <w:lang w:val="en-ZA"/>
              </w:rPr>
              <w:t>he underlying structural determinants which influence the distribution of mortality in Cape Town?</w:t>
            </w:r>
          </w:p>
          <w:p w:rsidR="00AB7884" w:rsidRPr="0034040D" w:rsidRDefault="00AB7884">
            <w:pPr>
              <w:pStyle w:val="ListParagraph"/>
              <w:tabs>
                <w:tab w:val="left" w:pos="2354"/>
              </w:tabs>
              <w:ind w:left="0"/>
              <w:rPr>
                <w:rFonts w:ascii="Trebuchet MS" w:eastAsiaTheme="minorEastAsia" w:hAnsi="Trebuchet MS" w:cs="Trebuchet MS"/>
                <w:b/>
                <w:bCs/>
                <w:sz w:val="22"/>
                <w:szCs w:val="22"/>
                <w:lang w:val="en-ZA"/>
              </w:rPr>
            </w:pPr>
            <w:r w:rsidRPr="0034040D">
              <w:rPr>
                <w:rFonts w:ascii="Trebuchet MS" w:eastAsiaTheme="minorEastAsia" w:hAnsi="Trebuchet MS" w:cs="Trebuchet MS"/>
                <w:color w:val="000000"/>
                <w:sz w:val="22"/>
                <w:szCs w:val="22"/>
                <w:lang w:val="en-ZA"/>
              </w:rPr>
              <w:t>5. Do you agree or disagree that the chances of health improvements which have occurred in the rest of the world being replicated in South Africa are highly unlikely? Explain.</w:t>
            </w:r>
            <w:r w:rsidRPr="0034040D">
              <w:rPr>
                <w:rFonts w:ascii="Trebuchet MS" w:eastAsiaTheme="minorEastAsia" w:hAnsi="Trebuchet MS" w:cs="Trebuchet MS"/>
                <w:color w:val="000000"/>
                <w:sz w:val="22"/>
                <w:szCs w:val="22"/>
                <w:lang w:val="en-ZA"/>
              </w:rPr>
              <w:br/>
            </w:r>
          </w:p>
        </w:tc>
      </w:tr>
    </w:tbl>
    <w:p w:rsidR="00AB7884" w:rsidRDefault="00AB7884">
      <w:pPr>
        <w:autoSpaceDE w:val="0"/>
        <w:autoSpaceDN w:val="0"/>
        <w:adjustRightInd w:val="0"/>
        <w:spacing w:before="240" w:after="120"/>
        <w:rPr>
          <w:rFonts w:ascii="Trebuchet MS" w:hAnsi="Trebuchet MS" w:cs="Trebuchet MS"/>
          <w:b/>
          <w:bCs/>
          <w:sz w:val="22"/>
          <w:szCs w:val="22"/>
          <w:lang w:val="en-ZA"/>
        </w:rPr>
      </w:pPr>
      <w:r>
        <w:rPr>
          <w:rFonts w:ascii="Trebuchet MS" w:hAnsi="Trebuchet MS" w:cs="Trebuchet MS"/>
          <w:b/>
          <w:bCs/>
          <w:sz w:val="22"/>
          <w:szCs w:val="22"/>
          <w:lang w:val="en-ZA"/>
        </w:rPr>
        <w:t>FEEDBACK</w:t>
      </w:r>
    </w:p>
    <w:p w:rsidR="00AB7884" w:rsidRDefault="00AB7884" w:rsidP="007F44B4">
      <w:pPr>
        <w:pStyle w:val="ListParagraph"/>
        <w:numPr>
          <w:ilvl w:val="0"/>
          <w:numId w:val="25"/>
        </w:numPr>
        <w:autoSpaceDE w:val="0"/>
        <w:autoSpaceDN w:val="0"/>
        <w:adjustRightInd w:val="0"/>
        <w:rPr>
          <w:sz w:val="22"/>
          <w:szCs w:val="22"/>
          <w:lang w:val="en-ZA"/>
        </w:rPr>
      </w:pPr>
      <w:r>
        <w:rPr>
          <w:sz w:val="22"/>
          <w:szCs w:val="22"/>
          <w:lang w:val="en-ZA"/>
        </w:rPr>
        <w:t xml:space="preserve">In 1996 the ANC government adopted a macroeconomic policy called GEAR –Growth, Employment and Redistribution (GEAR) – which had a neo-liberal agenda. It was hoped that this policy would attract foreign direct investment and lead to economic growth. The authors speculate that had the ANC not adopted this policy the IMF and World Bank would have downgraded South Africa’s credit ratings, making it less attractive to potential foreign investment. </w:t>
      </w:r>
    </w:p>
    <w:p w:rsidR="00AB7884" w:rsidRDefault="00AB7884">
      <w:pPr>
        <w:pStyle w:val="ListParagraph"/>
        <w:autoSpaceDE w:val="0"/>
        <w:autoSpaceDN w:val="0"/>
        <w:adjustRightInd w:val="0"/>
        <w:ind w:left="360"/>
        <w:rPr>
          <w:sz w:val="22"/>
          <w:szCs w:val="22"/>
          <w:lang w:val="en-ZA"/>
        </w:rPr>
      </w:pPr>
      <w:r>
        <w:rPr>
          <w:sz w:val="22"/>
          <w:szCs w:val="22"/>
          <w:lang w:val="en-ZA"/>
        </w:rPr>
        <w:br w:type="page"/>
      </w:r>
    </w:p>
    <w:p w:rsidR="00AB7884" w:rsidRDefault="00AB7884" w:rsidP="007F44B4">
      <w:pPr>
        <w:pStyle w:val="ListParagraph"/>
        <w:numPr>
          <w:ilvl w:val="0"/>
          <w:numId w:val="25"/>
        </w:numPr>
        <w:autoSpaceDE w:val="0"/>
        <w:autoSpaceDN w:val="0"/>
        <w:adjustRightInd w:val="0"/>
        <w:rPr>
          <w:sz w:val="22"/>
          <w:szCs w:val="22"/>
          <w:lang w:val="en-ZA"/>
        </w:rPr>
      </w:pPr>
      <w:r>
        <w:rPr>
          <w:sz w:val="22"/>
          <w:szCs w:val="22"/>
          <w:lang w:val="en-US"/>
        </w:rPr>
        <w:t xml:space="preserve">You might have mentioned the following consequences of this policy: </w:t>
      </w:r>
    </w:p>
    <w:p w:rsidR="00AB7884" w:rsidRDefault="00AB7884" w:rsidP="007F44B4">
      <w:pPr>
        <w:pStyle w:val="ListParagraph"/>
        <w:numPr>
          <w:ilvl w:val="0"/>
          <w:numId w:val="31"/>
        </w:numPr>
        <w:tabs>
          <w:tab w:val="left" w:pos="426"/>
        </w:tabs>
        <w:autoSpaceDE w:val="0"/>
        <w:autoSpaceDN w:val="0"/>
        <w:adjustRightInd w:val="0"/>
        <w:ind w:left="426"/>
        <w:rPr>
          <w:sz w:val="22"/>
          <w:szCs w:val="22"/>
          <w:lang w:val="en-US"/>
        </w:rPr>
      </w:pPr>
      <w:r>
        <w:rPr>
          <w:sz w:val="22"/>
          <w:szCs w:val="22"/>
          <w:lang w:val="en-ZA"/>
        </w:rPr>
        <w:t>Employment: There has been a rapid increase in unemployment especially in the textile and manufacturing sectors, with many people having had to move into the informal economic sector as a survival strategy.</w:t>
      </w:r>
    </w:p>
    <w:p w:rsidR="00AB7884" w:rsidRDefault="00AB7884" w:rsidP="007F44B4">
      <w:pPr>
        <w:pStyle w:val="ListParagraph"/>
        <w:numPr>
          <w:ilvl w:val="0"/>
          <w:numId w:val="31"/>
        </w:numPr>
        <w:tabs>
          <w:tab w:val="left" w:pos="426"/>
        </w:tabs>
        <w:autoSpaceDE w:val="0"/>
        <w:autoSpaceDN w:val="0"/>
        <w:adjustRightInd w:val="0"/>
        <w:ind w:left="426"/>
        <w:rPr>
          <w:sz w:val="22"/>
          <w:szCs w:val="22"/>
          <w:lang w:val="en-US"/>
        </w:rPr>
      </w:pPr>
      <w:r>
        <w:rPr>
          <w:sz w:val="22"/>
          <w:szCs w:val="22"/>
          <w:lang w:val="en-ZA"/>
        </w:rPr>
        <w:t xml:space="preserve">Income inequality: The poorest 40% of the population accounts for 11% of the total income; and the richest 10% of the population commands 40% of the total income.  </w:t>
      </w:r>
    </w:p>
    <w:p w:rsidR="00AB7884" w:rsidRDefault="00AB7884" w:rsidP="007F44B4">
      <w:pPr>
        <w:pStyle w:val="ListParagraph"/>
        <w:numPr>
          <w:ilvl w:val="0"/>
          <w:numId w:val="31"/>
        </w:numPr>
        <w:tabs>
          <w:tab w:val="left" w:pos="426"/>
        </w:tabs>
        <w:autoSpaceDE w:val="0"/>
        <w:autoSpaceDN w:val="0"/>
        <w:adjustRightInd w:val="0"/>
        <w:ind w:left="426"/>
        <w:rPr>
          <w:sz w:val="22"/>
          <w:szCs w:val="22"/>
          <w:lang w:val="en-US"/>
        </w:rPr>
      </w:pPr>
      <w:r>
        <w:rPr>
          <w:sz w:val="22"/>
          <w:szCs w:val="22"/>
          <w:lang w:val="en-ZA"/>
        </w:rPr>
        <w:t>Distribution of basic facilities: There are variations within provinces, but generally access to piped water inside the home has dropped from 45% to 39%; in 1999, 10% of households did not have access to a toilet; and in the same year, 22% of households reported hunger.</w:t>
      </w:r>
    </w:p>
    <w:p w:rsidR="00AB7884" w:rsidRDefault="00AB7884">
      <w:pPr>
        <w:pStyle w:val="ListParagraph"/>
        <w:tabs>
          <w:tab w:val="left" w:pos="426"/>
        </w:tabs>
        <w:autoSpaceDE w:val="0"/>
        <w:autoSpaceDN w:val="0"/>
        <w:adjustRightInd w:val="0"/>
        <w:ind w:left="360"/>
        <w:rPr>
          <w:sz w:val="22"/>
          <w:szCs w:val="22"/>
          <w:lang w:val="en-US"/>
        </w:rPr>
      </w:pPr>
    </w:p>
    <w:p w:rsidR="00AB7884" w:rsidRDefault="00AB7884" w:rsidP="007F44B4">
      <w:pPr>
        <w:pStyle w:val="ListParagraph"/>
        <w:numPr>
          <w:ilvl w:val="0"/>
          <w:numId w:val="25"/>
        </w:numPr>
        <w:tabs>
          <w:tab w:val="left" w:pos="426"/>
        </w:tabs>
        <w:autoSpaceDE w:val="0"/>
        <w:autoSpaceDN w:val="0"/>
        <w:adjustRightInd w:val="0"/>
        <w:rPr>
          <w:sz w:val="22"/>
          <w:szCs w:val="22"/>
          <w:lang w:val="en-ZA"/>
        </w:rPr>
      </w:pPr>
      <w:r>
        <w:rPr>
          <w:sz w:val="22"/>
          <w:szCs w:val="22"/>
          <w:lang w:val="en-US"/>
        </w:rPr>
        <w:t xml:space="preserve">South Africa is an example of ‘combined and uneven development’ with the majority of the population living in traditional rural areas, relying on subsistence agriculture, some paid work and government social grants; alongside an increasing urbanised population which is either unemployed or mainly engaged in the informal sector, and a small elite of skilled and professional employees (which is increasingly black). </w:t>
      </w:r>
    </w:p>
    <w:p w:rsidR="00AB7884" w:rsidRDefault="00AB7884">
      <w:pPr>
        <w:pStyle w:val="ListParagraph"/>
        <w:tabs>
          <w:tab w:val="left" w:pos="426"/>
        </w:tabs>
        <w:autoSpaceDE w:val="0"/>
        <w:autoSpaceDN w:val="0"/>
        <w:adjustRightInd w:val="0"/>
        <w:ind w:left="360"/>
        <w:rPr>
          <w:sz w:val="22"/>
          <w:szCs w:val="22"/>
          <w:lang w:val="en-ZA"/>
        </w:rPr>
      </w:pPr>
    </w:p>
    <w:p w:rsidR="00AB7884" w:rsidRDefault="00AB7884" w:rsidP="007F44B4">
      <w:pPr>
        <w:pStyle w:val="ListParagraph"/>
        <w:numPr>
          <w:ilvl w:val="0"/>
          <w:numId w:val="25"/>
        </w:numPr>
        <w:tabs>
          <w:tab w:val="left" w:pos="426"/>
        </w:tabs>
        <w:autoSpaceDE w:val="0"/>
        <w:autoSpaceDN w:val="0"/>
        <w:adjustRightInd w:val="0"/>
        <w:rPr>
          <w:sz w:val="22"/>
          <w:szCs w:val="22"/>
          <w:lang w:val="en-ZA"/>
        </w:rPr>
      </w:pPr>
      <w:r>
        <w:rPr>
          <w:sz w:val="22"/>
          <w:szCs w:val="22"/>
          <w:lang w:val="en-US"/>
        </w:rPr>
        <w:t xml:space="preserve">Underlying structural determinants include: </w:t>
      </w:r>
    </w:p>
    <w:p w:rsidR="00AB7884" w:rsidRDefault="00AB7884" w:rsidP="007F44B4">
      <w:pPr>
        <w:pStyle w:val="ListParagraph"/>
        <w:numPr>
          <w:ilvl w:val="0"/>
          <w:numId w:val="28"/>
        </w:numPr>
        <w:tabs>
          <w:tab w:val="left" w:pos="426"/>
        </w:tabs>
        <w:autoSpaceDE w:val="0"/>
        <w:autoSpaceDN w:val="0"/>
        <w:adjustRightInd w:val="0"/>
        <w:ind w:left="426"/>
        <w:rPr>
          <w:sz w:val="22"/>
          <w:szCs w:val="22"/>
          <w:lang w:val="en-ZA"/>
        </w:rPr>
      </w:pPr>
      <w:r>
        <w:rPr>
          <w:sz w:val="22"/>
          <w:szCs w:val="22"/>
          <w:lang w:val="en-ZA"/>
        </w:rPr>
        <w:t xml:space="preserve">Economic insecurity: An example is provided of 67% of wage earners not earning enough to rise above the poverty line, and employment being precarious. </w:t>
      </w:r>
    </w:p>
    <w:p w:rsidR="00AB7884" w:rsidRDefault="00AB7884" w:rsidP="007F44B4">
      <w:pPr>
        <w:pStyle w:val="ListParagraph"/>
        <w:numPr>
          <w:ilvl w:val="0"/>
          <w:numId w:val="28"/>
        </w:numPr>
        <w:tabs>
          <w:tab w:val="left" w:pos="426"/>
        </w:tabs>
        <w:autoSpaceDE w:val="0"/>
        <w:autoSpaceDN w:val="0"/>
        <w:adjustRightInd w:val="0"/>
        <w:ind w:left="426"/>
        <w:rPr>
          <w:sz w:val="22"/>
          <w:szCs w:val="22"/>
          <w:lang w:val="en-ZA"/>
        </w:rPr>
      </w:pPr>
      <w:r>
        <w:rPr>
          <w:sz w:val="22"/>
          <w:szCs w:val="22"/>
          <w:lang w:val="en-ZA"/>
        </w:rPr>
        <w:t>Lack of effective political and administrative response resulting in poor infrastructure and facilities:</w:t>
      </w:r>
      <w:r>
        <w:rPr>
          <w:i/>
          <w:iCs/>
          <w:sz w:val="22"/>
          <w:szCs w:val="22"/>
          <w:lang w:val="en-ZA"/>
        </w:rPr>
        <w:t xml:space="preserve"> </w:t>
      </w:r>
      <w:r>
        <w:rPr>
          <w:sz w:val="22"/>
          <w:szCs w:val="22"/>
          <w:lang w:val="en-ZA"/>
        </w:rPr>
        <w:t xml:space="preserve">Poor quality education; transport; huge backlog of housing with a cut-back in state funding; increasing privatization of basic services such as water and sanitation with increased costs to consumers; lack of access to good quality health services; and the general inability of local government to bring about important changes in the social and economic distribution across the city. </w:t>
      </w:r>
    </w:p>
    <w:p w:rsidR="00AB7884" w:rsidRDefault="00AB7884" w:rsidP="007F44B4">
      <w:pPr>
        <w:pStyle w:val="ListParagraph"/>
        <w:numPr>
          <w:ilvl w:val="0"/>
          <w:numId w:val="28"/>
        </w:numPr>
        <w:tabs>
          <w:tab w:val="left" w:pos="426"/>
        </w:tabs>
        <w:autoSpaceDE w:val="0"/>
        <w:autoSpaceDN w:val="0"/>
        <w:adjustRightInd w:val="0"/>
        <w:ind w:left="426"/>
        <w:rPr>
          <w:sz w:val="22"/>
          <w:szCs w:val="22"/>
          <w:lang w:val="en-ZA"/>
        </w:rPr>
      </w:pPr>
      <w:r>
        <w:rPr>
          <w:sz w:val="22"/>
          <w:szCs w:val="22"/>
          <w:lang w:val="en-ZA"/>
        </w:rPr>
        <w:t xml:space="preserve">Global policies: Trade liberalisation has resulted in the lowering of tariffs, especially in the textile industry, resulting in significant job losses. </w:t>
      </w:r>
      <w:r>
        <w:rPr>
          <w:sz w:val="22"/>
          <w:szCs w:val="22"/>
          <w:lang w:val="en-ZA"/>
        </w:rPr>
        <w:br/>
      </w:r>
    </w:p>
    <w:p w:rsidR="00AB7884" w:rsidRDefault="00AB7884" w:rsidP="007F44B4">
      <w:pPr>
        <w:pStyle w:val="ListParagraph"/>
        <w:numPr>
          <w:ilvl w:val="0"/>
          <w:numId w:val="25"/>
        </w:numPr>
        <w:tabs>
          <w:tab w:val="left" w:pos="426"/>
        </w:tabs>
        <w:autoSpaceDE w:val="0"/>
        <w:autoSpaceDN w:val="0"/>
        <w:adjustRightInd w:val="0"/>
        <w:spacing w:after="200"/>
        <w:rPr>
          <w:sz w:val="22"/>
          <w:szCs w:val="22"/>
          <w:lang w:val="en-ZA"/>
        </w:rPr>
      </w:pPr>
      <w:r>
        <w:rPr>
          <w:sz w:val="22"/>
          <w:szCs w:val="22"/>
          <w:lang w:val="en-ZA"/>
        </w:rPr>
        <w:t>Your answers will differ. According to the authors it is unlikely that the health improvements which occurred in Britain and Sweden will be replicated in South Africa. They believe that the macroeconomic policy adopted by the ANC ruling party have entrenched the current pattern of combined and uneven development and the related pattern of morbidity and mortality.</w:t>
      </w:r>
    </w:p>
    <w:p w:rsidR="00AB7884" w:rsidRDefault="00AB7884">
      <w:pPr>
        <w:tabs>
          <w:tab w:val="left" w:pos="540"/>
        </w:tabs>
        <w:autoSpaceDE w:val="0"/>
        <w:autoSpaceDN w:val="0"/>
        <w:adjustRightInd w:val="0"/>
        <w:rPr>
          <w:sz w:val="22"/>
          <w:szCs w:val="22"/>
          <w:lang w:val="en-US"/>
        </w:rPr>
      </w:pPr>
      <w:r>
        <w:rPr>
          <w:sz w:val="22"/>
          <w:szCs w:val="22"/>
          <w:lang w:val="en-US"/>
        </w:rPr>
        <w:t xml:space="preserve">Making the disease profile in South Africa even more complex, is that within the quadruple burden of disease, there exists ‘the double-burden of malnutrition’, which is characterised by under-nutrition in children and obesity in adults, particularly adult women, in the same population group. </w:t>
      </w:r>
    </w:p>
    <w:p w:rsidR="00AB7884" w:rsidRDefault="00AB7884">
      <w:pPr>
        <w:pStyle w:val="Heading2"/>
        <w:spacing w:before="0"/>
        <w:rPr>
          <w:rFonts w:ascii="Arial" w:hAnsi="Arial" w:cs="Arial"/>
          <w:sz w:val="22"/>
          <w:szCs w:val="22"/>
          <w:lang w:val="en-US"/>
        </w:rPr>
      </w:pPr>
    </w:p>
    <w:p w:rsidR="00AB7884" w:rsidRDefault="00AB7884">
      <w:pPr>
        <w:pStyle w:val="Heading2"/>
        <w:spacing w:before="0"/>
        <w:rPr>
          <w:rFonts w:ascii="Trebuchet MS" w:hAnsi="Trebuchet MS" w:cs="Trebuchet MS"/>
          <w:color w:val="FF0000"/>
          <w:sz w:val="24"/>
          <w:szCs w:val="24"/>
        </w:rPr>
      </w:pPr>
      <w:r>
        <w:rPr>
          <w:rFonts w:ascii="Arial" w:hAnsi="Arial" w:cs="Arial"/>
          <w:sz w:val="22"/>
          <w:szCs w:val="22"/>
          <w:lang w:val="en-US"/>
        </w:rPr>
        <w:br/>
      </w:r>
      <w:r>
        <w:rPr>
          <w:rFonts w:ascii="Trebuchet MS" w:hAnsi="Trebuchet MS" w:cs="Trebuchet MS"/>
          <w:sz w:val="28"/>
          <w:szCs w:val="28"/>
        </w:rPr>
        <w:t>4</w:t>
      </w:r>
      <w:r>
        <w:rPr>
          <w:rFonts w:ascii="Trebuchet MS" w:hAnsi="Trebuchet MS" w:cs="Trebuchet MS"/>
          <w:sz w:val="28"/>
          <w:szCs w:val="28"/>
        </w:rPr>
        <w:tab/>
        <w:t xml:space="preserve">THE DOUBLE-BURDEN OF MALNUTRITION </w:t>
      </w:r>
    </w:p>
    <w:p w:rsidR="00AB7884" w:rsidRDefault="00717A10">
      <w:pPr>
        <w:rPr>
          <w:rFonts w:ascii="Trebuchet MS" w:hAnsi="Trebuchet MS" w:cs="Trebuchet MS"/>
          <w:b/>
          <w:bCs/>
          <w:sz w:val="18"/>
          <w:szCs w:val="18"/>
        </w:rPr>
      </w:pPr>
      <w:r w:rsidRPr="00717A10">
        <w:rPr>
          <w:color w:val="FF0000"/>
          <w:sz w:val="24"/>
          <w:szCs w:val="24"/>
        </w:rPr>
        <w:pict>
          <v:rect id="_x0000_i1048" style="width:425.2pt;height:2pt" o:hralign="center" o:hrstd="t" o:hrnoshade="t" o:hr="t" fillcolor="black" stroked="f"/>
        </w:pict>
      </w:r>
    </w:p>
    <w:p w:rsidR="00AB7884" w:rsidRDefault="00AB7884">
      <w:pPr>
        <w:autoSpaceDE w:val="0"/>
        <w:autoSpaceDN w:val="0"/>
        <w:adjustRightInd w:val="0"/>
        <w:spacing w:before="120" w:after="120"/>
        <w:ind w:left="720"/>
        <w:rPr>
          <w:rFonts w:ascii="Trebuchet MS" w:hAnsi="Trebuchet MS" w:cs="Trebuchet MS"/>
          <w:sz w:val="22"/>
          <w:szCs w:val="22"/>
        </w:rPr>
      </w:pPr>
      <w:r>
        <w:rPr>
          <w:rFonts w:ascii="Trebuchet MS" w:hAnsi="Trebuchet MS" w:cs="Trebuchet MS"/>
          <w:i/>
          <w:iCs/>
          <w:sz w:val="22"/>
          <w:szCs w:val="22"/>
          <w:lang w:val="en-US"/>
        </w:rPr>
        <w:t>“There is evidence that when economic conditions improve, obesity and diet-related non-communicable diseases may escalate in countries with high levels of under-nutrition. There is also evidence to indicate that under-nutrition in utero and early childhood may predispose individuals to greater susceptibility to some chronic diseases”</w:t>
      </w:r>
      <w:r>
        <w:rPr>
          <w:rFonts w:ascii="Trebuchet MS" w:hAnsi="Trebuchet MS" w:cs="Trebuchet MS"/>
          <w:sz w:val="22"/>
          <w:szCs w:val="22"/>
          <w:lang w:val="en-US"/>
        </w:rPr>
        <w:t xml:space="preserve"> </w:t>
      </w:r>
      <w:r>
        <w:rPr>
          <w:rFonts w:ascii="Trebuchet MS" w:hAnsi="Trebuchet MS" w:cs="Trebuchet MS"/>
          <w:color w:val="231F20"/>
          <w:sz w:val="22"/>
          <w:szCs w:val="22"/>
          <w:lang w:val="en-US"/>
        </w:rPr>
        <w:t xml:space="preserve">(FAO, 2006). </w:t>
      </w:r>
    </w:p>
    <w:p w:rsidR="00AB7884" w:rsidRDefault="00AB7884">
      <w:pPr>
        <w:pStyle w:val="NormalWeb"/>
        <w:rPr>
          <w:sz w:val="22"/>
          <w:szCs w:val="22"/>
        </w:rPr>
      </w:pPr>
      <w:r>
        <w:rPr>
          <w:sz w:val="22"/>
          <w:szCs w:val="22"/>
        </w:rPr>
        <w:lastRenderedPageBreak/>
        <w:t xml:space="preserve">South Africa is battling with the simultaneous scourges of deep poverty and chronic hunger, which manifest in malnourishment in the form of either under- or over-nutrition in the </w:t>
      </w:r>
      <w:r>
        <w:rPr>
          <w:i/>
          <w:iCs/>
          <w:sz w:val="22"/>
          <w:szCs w:val="22"/>
        </w:rPr>
        <w:t>same</w:t>
      </w:r>
      <w:r>
        <w:rPr>
          <w:sz w:val="22"/>
          <w:szCs w:val="22"/>
        </w:rPr>
        <w:t xml:space="preserve"> population groups. This double scourge is called the ‘double-burden of malnutrition’. </w:t>
      </w:r>
    </w:p>
    <w:p w:rsidR="00AB7884" w:rsidRDefault="00AB7884">
      <w:pPr>
        <w:pStyle w:val="NormalWeb"/>
        <w:rPr>
          <w:b/>
          <w:bCs/>
          <w:sz w:val="22"/>
          <w:szCs w:val="22"/>
        </w:rPr>
      </w:pPr>
      <w:r>
        <w:rPr>
          <w:sz w:val="22"/>
          <w:szCs w:val="22"/>
        </w:rPr>
        <w:t xml:space="preserve">In 2002, WHO rated both underweight and overweight among the top ten leading risk factors for the global Burden of Disease – leading to repeated infectious diseases in the former; and NCDs in the latter. Figure 2.2.2 depicts the double burden of malnutrition globally, and in least to most developed countries. As you can see, the double burden is highest in developing countries, with 75 million people suffering from either underweight or obesity. </w:t>
      </w:r>
    </w:p>
    <w:p w:rsidR="00AB7884" w:rsidRDefault="00AB7884">
      <w:pPr>
        <w:spacing w:before="240" w:after="120" w:line="276" w:lineRule="auto"/>
        <w:rPr>
          <w:rFonts w:ascii="Trebuchet MS" w:hAnsi="Trebuchet MS" w:cs="Trebuchet MS"/>
          <w:b/>
          <w:bCs/>
          <w:sz w:val="22"/>
          <w:szCs w:val="22"/>
        </w:rPr>
      </w:pPr>
      <w:r>
        <w:rPr>
          <w:rFonts w:ascii="Trebuchet MS" w:hAnsi="Trebuchet MS" w:cs="Trebuchet MS"/>
          <w:b/>
          <w:bCs/>
          <w:sz w:val="22"/>
          <w:szCs w:val="22"/>
          <w:lang w:val="en-US"/>
        </w:rPr>
        <w:t>Figure 2.2.2 Double burden of malnutrition in different countries globally</w:t>
      </w:r>
    </w:p>
    <w:p w:rsidR="00AB7884" w:rsidRDefault="00C42A6B">
      <w:pPr>
        <w:spacing w:after="200" w:line="276" w:lineRule="auto"/>
        <w:rPr>
          <w:rFonts w:ascii="Trebuchet MS" w:hAnsi="Trebuchet MS" w:cs="Trebuchet MS"/>
          <w:b/>
          <w:bCs/>
          <w:noProof/>
          <w:sz w:val="28"/>
          <w:szCs w:val="28"/>
          <w:lang w:val="en-ZA" w:eastAsia="en-ZA"/>
        </w:rPr>
      </w:pPr>
      <w:r w:rsidRPr="00717A10">
        <w:rPr>
          <w:rFonts w:ascii="Trebuchet MS" w:hAnsi="Trebuchet MS" w:cs="Trebuchet MS"/>
          <w:b/>
          <w:bCs/>
          <w:noProof/>
          <w:sz w:val="28"/>
          <w:szCs w:val="28"/>
          <w:lang w:val="en-ZA" w:eastAsia="en-ZA"/>
        </w:rPr>
        <w:pict>
          <v:shape id="Picture 3" o:spid="_x0000_i1049" type="#_x0000_t75" style="width:333.75pt;height:183.75pt;visibility:visible">
            <v:imagedata r:id="rId31" o:title=""/>
          </v:shape>
        </w:pict>
      </w:r>
    </w:p>
    <w:p w:rsidR="00AB7884" w:rsidRDefault="00AB7884">
      <w:pPr>
        <w:tabs>
          <w:tab w:val="num" w:pos="720"/>
        </w:tabs>
        <w:autoSpaceDE w:val="0"/>
        <w:autoSpaceDN w:val="0"/>
        <w:adjustRightInd w:val="0"/>
        <w:spacing w:before="240" w:after="200"/>
        <w:rPr>
          <w:rFonts w:ascii="Trebuchet MS" w:hAnsi="Trebuchet MS" w:cs="Trebuchet MS"/>
          <w:b/>
          <w:bCs/>
          <w:sz w:val="22"/>
          <w:szCs w:val="22"/>
          <w:lang w:val="en-ZA"/>
        </w:rPr>
      </w:pPr>
      <w:r>
        <w:rPr>
          <w:sz w:val="22"/>
          <w:szCs w:val="22"/>
        </w:rPr>
        <w:t xml:space="preserve">The information in Figure 2.2.3 illustrates the leading causes of global mortality and DALYs. According to the WHO, in 2004 high blood pressure was the leading global risk factor for mortality, being responsible for approximately 13% of deaths globally. Overweight and obesity was the fifth leading risk factor for mortality, being responsible for about 5% of deaths globally. </w:t>
      </w:r>
    </w:p>
    <w:p w:rsidR="00AB7884" w:rsidRDefault="00AB7884">
      <w:pPr>
        <w:autoSpaceDE w:val="0"/>
        <w:autoSpaceDN w:val="0"/>
        <w:adjustRightInd w:val="0"/>
        <w:spacing w:before="240" w:after="120"/>
        <w:rPr>
          <w:sz w:val="22"/>
          <w:szCs w:val="22"/>
        </w:rPr>
      </w:pPr>
      <w:r>
        <w:rPr>
          <w:sz w:val="22"/>
          <w:szCs w:val="22"/>
        </w:rPr>
        <w:t>In terms of DALYs, childhood underweight was the leading risk factor for the BOD, being responsible for almost 6% of DALYs mainly in low-income countries. According to a Save the Children UK Report published in 2012, of the 7,6 million child deaths in 2010, 35% were attributable to undernutrition (Save the Children UK, 2012).</w:t>
      </w:r>
    </w:p>
    <w:p w:rsidR="00AB7884" w:rsidRDefault="00AB7884">
      <w:pPr>
        <w:autoSpaceDE w:val="0"/>
        <w:autoSpaceDN w:val="0"/>
        <w:adjustRightInd w:val="0"/>
        <w:spacing w:before="240" w:after="120"/>
        <w:rPr>
          <w:rFonts w:ascii="Trebuchet MS" w:hAnsi="Trebuchet MS" w:cs="Trebuchet MS"/>
          <w:b/>
          <w:bCs/>
          <w:sz w:val="22"/>
          <w:szCs w:val="22"/>
          <w:lang w:val="en-ZA"/>
        </w:rPr>
      </w:pPr>
      <w:r>
        <w:rPr>
          <w:rFonts w:ascii="Trebuchet MS" w:hAnsi="Trebuchet MS" w:cs="Trebuchet MS"/>
          <w:b/>
          <w:bCs/>
          <w:sz w:val="22"/>
          <w:szCs w:val="22"/>
        </w:rPr>
        <w:br w:type="page"/>
      </w:r>
      <w:r>
        <w:rPr>
          <w:rFonts w:ascii="Trebuchet MS" w:hAnsi="Trebuchet MS" w:cs="Trebuchet MS"/>
          <w:b/>
          <w:bCs/>
          <w:sz w:val="22"/>
          <w:szCs w:val="22"/>
        </w:rPr>
        <w:lastRenderedPageBreak/>
        <w:t>Figure 2.2.3 Leading causes of attributable global mortality and global DALYs, 2004</w:t>
      </w:r>
    </w:p>
    <w:p w:rsidR="00AB7884" w:rsidRDefault="00C42A6B">
      <w:pPr>
        <w:autoSpaceDE w:val="0"/>
        <w:autoSpaceDN w:val="0"/>
        <w:adjustRightInd w:val="0"/>
        <w:spacing w:before="240" w:after="120" w:line="276" w:lineRule="auto"/>
        <w:rPr>
          <w:rFonts w:ascii="Trebuchet MS" w:hAnsi="Trebuchet MS" w:cs="Trebuchet MS"/>
          <w:b/>
          <w:bCs/>
          <w:sz w:val="22"/>
          <w:szCs w:val="22"/>
          <w:lang w:val="en-ZA"/>
        </w:rPr>
      </w:pPr>
      <w:r w:rsidRPr="00717A10">
        <w:rPr>
          <w:rFonts w:ascii="Trebuchet MS" w:hAnsi="Trebuchet MS" w:cs="Trebuchet MS"/>
          <w:b/>
          <w:bCs/>
          <w:sz w:val="22"/>
          <w:szCs w:val="22"/>
          <w:lang w:val="en-ZA"/>
        </w:rPr>
        <w:pict>
          <v:shape id="_x0000_i1050" type="#_x0000_t75" style="width:277.5pt;height:205.5pt;visibility:visible">
            <v:imagedata r:id="rId32" o:title=""/>
          </v:shape>
        </w:pict>
      </w:r>
    </w:p>
    <w:p w:rsidR="00AB7884" w:rsidRDefault="00AB7884">
      <w:pPr>
        <w:pStyle w:val="Heading2"/>
        <w:spacing w:before="0"/>
        <w:rPr>
          <w:rFonts w:ascii="Arial" w:hAnsi="Arial" w:cs="Arial"/>
          <w:sz w:val="22"/>
          <w:szCs w:val="22"/>
        </w:rPr>
      </w:pPr>
    </w:p>
    <w:p w:rsidR="00AB7884" w:rsidRDefault="00AB7884"/>
    <w:p w:rsidR="00AB7884" w:rsidRDefault="00AB7884">
      <w:pPr>
        <w:pStyle w:val="Heading2"/>
        <w:spacing w:before="0"/>
        <w:rPr>
          <w:rFonts w:ascii="Trebuchet MS" w:hAnsi="Trebuchet MS" w:cs="Trebuchet MS"/>
          <w:color w:val="FF0000"/>
          <w:sz w:val="24"/>
          <w:szCs w:val="24"/>
        </w:rPr>
      </w:pPr>
      <w:r>
        <w:rPr>
          <w:rFonts w:ascii="Trebuchet MS" w:hAnsi="Trebuchet MS" w:cs="Trebuchet MS"/>
          <w:sz w:val="28"/>
          <w:szCs w:val="28"/>
        </w:rPr>
        <w:t>5</w:t>
      </w:r>
      <w:r>
        <w:rPr>
          <w:rFonts w:ascii="Trebuchet MS" w:hAnsi="Trebuchet MS" w:cs="Trebuchet MS"/>
          <w:sz w:val="28"/>
          <w:szCs w:val="28"/>
        </w:rPr>
        <w:tab/>
        <w:t xml:space="preserve">UNDER-NUTRITION IN SOUTH AFRICA </w:t>
      </w:r>
    </w:p>
    <w:p w:rsidR="00AB7884" w:rsidRDefault="00717A10">
      <w:pPr>
        <w:rPr>
          <w:rFonts w:ascii="Trebuchet MS" w:hAnsi="Trebuchet MS" w:cs="Trebuchet MS"/>
          <w:b/>
          <w:bCs/>
          <w:sz w:val="18"/>
          <w:szCs w:val="18"/>
        </w:rPr>
      </w:pPr>
      <w:r w:rsidRPr="00717A10">
        <w:rPr>
          <w:color w:val="FF0000"/>
          <w:sz w:val="24"/>
          <w:szCs w:val="24"/>
        </w:rPr>
        <w:pict>
          <v:rect id="_x0000_i1051" style="width:425.2pt;height:2pt" o:hralign="center" o:hrstd="t" o:hrnoshade="t" o:hr="t" fillcolor="black" stroked="f"/>
        </w:pict>
      </w:r>
    </w:p>
    <w:p w:rsidR="00AB7884" w:rsidRDefault="00AB7884">
      <w:pPr>
        <w:spacing w:before="120" w:after="120"/>
        <w:ind w:left="720"/>
        <w:rPr>
          <w:rFonts w:ascii="Trebuchet MS" w:hAnsi="Trebuchet MS" w:cs="Trebuchet MS"/>
          <w:sz w:val="22"/>
          <w:szCs w:val="22"/>
        </w:rPr>
      </w:pPr>
      <w:r>
        <w:rPr>
          <w:rFonts w:ascii="Trebuchet MS" w:hAnsi="Trebuchet MS" w:cs="Trebuchet MS"/>
          <w:i/>
          <w:iCs/>
          <w:sz w:val="22"/>
          <w:szCs w:val="22"/>
          <w:lang w:val="en-ZA" w:eastAsia="en-ZA"/>
        </w:rPr>
        <w:t xml:space="preserve"> “The world has enough food for everyone, so putting an end to the hunger and malnutrition crisis is the right thing to do. Every child has the right to a life free from hunger. No child should be born to die from a cycle of malnutrition and disease because they are not able to eat enough nutritious food”</w:t>
      </w:r>
      <w:r>
        <w:rPr>
          <w:rFonts w:ascii="Trebuchet MS" w:hAnsi="Trebuchet MS" w:cs="Trebuchet MS"/>
          <w:i/>
          <w:iCs/>
          <w:sz w:val="22"/>
          <w:szCs w:val="22"/>
        </w:rPr>
        <w:t xml:space="preserve"> (</w:t>
      </w:r>
      <w:r>
        <w:rPr>
          <w:rFonts w:ascii="Trebuchet MS" w:hAnsi="Trebuchet MS" w:cs="Trebuchet MS"/>
          <w:sz w:val="22"/>
          <w:szCs w:val="22"/>
        </w:rPr>
        <w:t>Save the Children</w:t>
      </w:r>
      <w:r>
        <w:rPr>
          <w:rFonts w:ascii="Trebuchet MS" w:hAnsi="Trebuchet MS" w:cs="Trebuchet MS"/>
          <w:i/>
          <w:iCs/>
          <w:sz w:val="22"/>
          <w:szCs w:val="22"/>
        </w:rPr>
        <w:t xml:space="preserve">, </w:t>
      </w:r>
      <w:r>
        <w:rPr>
          <w:rFonts w:ascii="Trebuchet MS" w:hAnsi="Trebuchet MS" w:cs="Trebuchet MS"/>
          <w:sz w:val="22"/>
          <w:szCs w:val="22"/>
        </w:rPr>
        <w:t>2012).</w:t>
      </w:r>
    </w:p>
    <w:p w:rsidR="00AB7884" w:rsidRDefault="00AB7884">
      <w:pPr>
        <w:pStyle w:val="NormalWeb"/>
        <w:spacing w:before="0" w:beforeAutospacing="0" w:after="0" w:afterAutospacing="0"/>
        <w:rPr>
          <w:sz w:val="22"/>
          <w:szCs w:val="22"/>
        </w:rPr>
      </w:pPr>
      <w:r>
        <w:rPr>
          <w:sz w:val="22"/>
          <w:szCs w:val="22"/>
        </w:rPr>
        <w:t>Nutrition is the cornerstone of child care. Malnutrition in children under two years old leads to irreversible physical and cognitive damage impacting negatively on the future health, economic well-being and welfare of the child. The immediate causes of under-nutrition are a poor diet which does not provide sufficient nutrients, weakening the immune system and predisposing the child to repeated infectious diseases, such as diarrhoea and pneumonia.</w:t>
      </w:r>
    </w:p>
    <w:p w:rsidR="0021531A" w:rsidRDefault="0021531A">
      <w:pPr>
        <w:autoSpaceDE w:val="0"/>
        <w:autoSpaceDN w:val="0"/>
        <w:adjustRightInd w:val="0"/>
        <w:ind w:left="720"/>
        <w:rPr>
          <w:rFonts w:ascii="Trebuchet MS" w:hAnsi="Trebuchet MS" w:cs="Trebuchet MS"/>
          <w:i/>
          <w:iCs/>
          <w:sz w:val="22"/>
          <w:szCs w:val="22"/>
          <w:lang w:val="en-ZA" w:eastAsia="en-ZA"/>
        </w:rPr>
      </w:pPr>
    </w:p>
    <w:p w:rsidR="00AB7884" w:rsidRDefault="00AB7884">
      <w:pPr>
        <w:autoSpaceDE w:val="0"/>
        <w:autoSpaceDN w:val="0"/>
        <w:adjustRightInd w:val="0"/>
        <w:ind w:left="720"/>
        <w:rPr>
          <w:rFonts w:ascii="Trebuchet MS" w:hAnsi="Trebuchet MS" w:cs="Trebuchet MS"/>
          <w:sz w:val="22"/>
          <w:szCs w:val="22"/>
          <w:lang w:val="en-ZA" w:eastAsia="en-ZA"/>
        </w:rPr>
      </w:pPr>
      <w:r>
        <w:rPr>
          <w:rFonts w:ascii="Trebuchet MS" w:hAnsi="Trebuchet MS" w:cs="Trebuchet MS"/>
          <w:i/>
          <w:iCs/>
          <w:sz w:val="22"/>
          <w:szCs w:val="22"/>
          <w:lang w:val="en-ZA" w:eastAsia="en-ZA"/>
        </w:rPr>
        <w:t xml:space="preserve">“Every hour of every day, 300 children die because of malnutrition. It’s an underlying cause of more than a third of children’s deaths – 2.6 million every year.1 But it’s not recorded on death certificates and, as a result, it’s not effectively addressed. Even for those children who survive, long-term malnutrition causes devastating and irreversible damage. Lack of nutritious food, coupled with infection and illness, means their bodies and brains don’t develop properly. At least 170 million children are affected by stunting” </w:t>
      </w:r>
      <w:r>
        <w:rPr>
          <w:rFonts w:ascii="Trebuchet MS" w:hAnsi="Trebuchet MS" w:cs="Trebuchet MS"/>
          <w:sz w:val="22"/>
          <w:szCs w:val="22"/>
          <w:lang w:val="en-ZA" w:eastAsia="en-ZA"/>
        </w:rPr>
        <w:t>(Save the Children, 2012).</w:t>
      </w:r>
    </w:p>
    <w:p w:rsidR="00AB7884" w:rsidRDefault="00AB7884">
      <w:pPr>
        <w:autoSpaceDE w:val="0"/>
        <w:autoSpaceDN w:val="0"/>
        <w:adjustRightInd w:val="0"/>
        <w:rPr>
          <w:rFonts w:ascii="GillSans" w:hAnsi="GillSans" w:cs="GillSans"/>
          <w:sz w:val="12"/>
          <w:szCs w:val="12"/>
        </w:rPr>
      </w:pPr>
    </w:p>
    <w:p w:rsidR="00AB7884" w:rsidRDefault="00AB7884">
      <w:pPr>
        <w:pStyle w:val="NormalWeb"/>
        <w:spacing w:before="0" w:beforeAutospacing="0"/>
        <w:rPr>
          <w:sz w:val="22"/>
          <w:szCs w:val="22"/>
          <w:lang w:val="en-GB"/>
        </w:rPr>
      </w:pPr>
      <w:r>
        <w:rPr>
          <w:sz w:val="22"/>
          <w:szCs w:val="22"/>
        </w:rPr>
        <w:t xml:space="preserve">Figure 2.2.4 presents the causes of death for children under-five years and for neonatal deaths in South Africa in 2008. Although under-nutrition is not specifically reflected in these statistics, it is an underlying contributory factor in many of the diseases. The Child Healthcare Problem Identification Programme (Child PIP) audit of child deaths in hospitals found that about 60% of under-five year olds who died, were </w:t>
      </w:r>
      <w:r>
        <w:rPr>
          <w:sz w:val="22"/>
          <w:szCs w:val="22"/>
          <w:lang w:val="en-GB"/>
        </w:rPr>
        <w:t xml:space="preserve">underweight for age and one third were severely malnourished. </w:t>
      </w:r>
    </w:p>
    <w:p w:rsidR="00AB7884" w:rsidRDefault="00AB7884">
      <w:pPr>
        <w:spacing w:before="120" w:after="120" w:line="276" w:lineRule="auto"/>
        <w:rPr>
          <w:rFonts w:ascii="Trebuchet MS" w:hAnsi="Trebuchet MS" w:cs="Trebuchet MS"/>
          <w:b/>
          <w:bCs/>
          <w:sz w:val="22"/>
          <w:szCs w:val="22"/>
        </w:rPr>
      </w:pPr>
      <w:r>
        <w:rPr>
          <w:rFonts w:ascii="Trebuchet MS" w:hAnsi="Trebuchet MS" w:cs="Trebuchet MS"/>
          <w:b/>
          <w:bCs/>
          <w:sz w:val="22"/>
          <w:szCs w:val="22"/>
        </w:rPr>
        <w:lastRenderedPageBreak/>
        <w:t>Figure 2.2.4 Cause of death for children under five and neonatal (babies under 28 days)</w:t>
      </w:r>
    </w:p>
    <w:p w:rsidR="00AB7884" w:rsidRDefault="00AB7884">
      <w:pPr>
        <w:pStyle w:val="NormalWeb"/>
        <w:rPr>
          <w:noProof/>
          <w:sz w:val="22"/>
          <w:szCs w:val="22"/>
          <w:lang w:val="nb-NO" w:eastAsia="nb-NO"/>
        </w:rPr>
      </w:pPr>
      <w:r>
        <w:rPr>
          <w:b/>
          <w:bCs/>
          <w:sz w:val="22"/>
          <w:szCs w:val="22"/>
          <w:lang w:val="en-GB"/>
        </w:rPr>
        <w:t xml:space="preserve"> </w:t>
      </w:r>
      <w:r w:rsidR="00C42A6B" w:rsidRPr="00717A10">
        <w:rPr>
          <w:noProof/>
          <w:sz w:val="22"/>
          <w:szCs w:val="22"/>
        </w:rPr>
        <w:pict>
          <v:shape id="Picture 8" o:spid="_x0000_i1052" type="#_x0000_t75" style="width:335.25pt;height:212.25pt;visibility:visible">
            <v:imagedata r:id="rId33" o:title=""/>
          </v:shape>
        </w:pict>
      </w:r>
    </w:p>
    <w:p w:rsidR="00AB7884" w:rsidRDefault="00AB7884">
      <w:pPr>
        <w:pStyle w:val="NormalWeb"/>
        <w:spacing w:before="120" w:beforeAutospacing="0" w:after="120" w:afterAutospacing="0"/>
        <w:rPr>
          <w:sz w:val="20"/>
          <w:szCs w:val="20"/>
        </w:rPr>
      </w:pPr>
      <w:r>
        <w:rPr>
          <w:b/>
          <w:bCs/>
          <w:i/>
          <w:iCs/>
          <w:sz w:val="20"/>
          <w:szCs w:val="20"/>
          <w:lang w:val="en-GB"/>
        </w:rPr>
        <w:t xml:space="preserve">Source: </w:t>
      </w:r>
      <w:r>
        <w:rPr>
          <w:rStyle w:val="ja50-ce-collaboration"/>
          <w:sz w:val="20"/>
          <w:szCs w:val="20"/>
        </w:rPr>
        <w:t xml:space="preserve">Bradshaw </w:t>
      </w:r>
      <w:r>
        <w:rPr>
          <w:rStyle w:val="ja50-ce-collaboration"/>
          <w:i/>
          <w:iCs/>
          <w:sz w:val="20"/>
          <w:szCs w:val="20"/>
        </w:rPr>
        <w:t>et al.</w:t>
      </w:r>
      <w:r>
        <w:rPr>
          <w:rStyle w:val="ja50-ce-collaboration"/>
          <w:sz w:val="20"/>
          <w:szCs w:val="20"/>
        </w:rPr>
        <w:t xml:space="preserve"> (2008). </w:t>
      </w:r>
      <w:r>
        <w:rPr>
          <w:sz w:val="20"/>
          <w:szCs w:val="20"/>
        </w:rPr>
        <w:t xml:space="preserve">Every death counts: use of mortality audit data for decision making to save the lives of mothers, babies, and children in South Africa. </w:t>
      </w:r>
      <w:r>
        <w:rPr>
          <w:i/>
          <w:iCs/>
          <w:sz w:val="20"/>
          <w:szCs w:val="20"/>
        </w:rPr>
        <w:t>The</w:t>
      </w:r>
      <w:r>
        <w:rPr>
          <w:sz w:val="20"/>
          <w:szCs w:val="20"/>
        </w:rPr>
        <w:t xml:space="preserve"> </w:t>
      </w:r>
      <w:r>
        <w:rPr>
          <w:i/>
          <w:iCs/>
          <w:sz w:val="20"/>
          <w:szCs w:val="20"/>
        </w:rPr>
        <w:t>Lancet</w:t>
      </w:r>
      <w:r>
        <w:rPr>
          <w:sz w:val="20"/>
          <w:szCs w:val="20"/>
        </w:rPr>
        <w:t>, 371(9620): 1294–1304.</w:t>
      </w:r>
    </w:p>
    <w:p w:rsidR="00AB7884" w:rsidRDefault="00AB7884">
      <w:pPr>
        <w:spacing w:before="240" w:after="240"/>
        <w:rPr>
          <w:sz w:val="22"/>
          <w:szCs w:val="22"/>
        </w:rPr>
      </w:pPr>
      <w:r>
        <w:rPr>
          <w:sz w:val="22"/>
          <w:szCs w:val="22"/>
        </w:rPr>
        <w:t xml:space="preserve">The first National Food Consumption Survey (NFCS) was undertaken in South Africa in 1999 with children in the one to nine year age group. The survey focused on the growth and nutritional status of these children, and the foods bought and eaten by their households. It was found that at the national level, food insecurity and hunger were experienced by one in two households; while one in four households were at risk of hunger (Department of Health South Africa, 2000).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0"/>
      </w:tblGrid>
      <w:tr w:rsidR="00AB7884" w:rsidRPr="0034040D" w:rsidTr="0021531A">
        <w:tc>
          <w:tcPr>
            <w:tcW w:w="8100" w:type="dxa"/>
          </w:tcPr>
          <w:p w:rsidR="00AB7884" w:rsidRPr="0034040D" w:rsidRDefault="00AB7884">
            <w:pPr>
              <w:pStyle w:val="CommentSubject"/>
              <w:spacing w:before="120" w:after="120"/>
              <w:rPr>
                <w:rFonts w:ascii="Trebuchet MS" w:eastAsiaTheme="minorEastAsia" w:hAnsi="Trebuchet MS" w:cs="Trebuchet MS"/>
                <w:lang w:val="en-ZA"/>
              </w:rPr>
            </w:pPr>
            <w:r w:rsidRPr="0034040D">
              <w:rPr>
                <w:rFonts w:ascii="Trebuchet MS" w:eastAsiaTheme="minorEastAsia" w:hAnsi="Trebuchet MS" w:cs="Trebuchet MS"/>
                <w:lang w:val="en-ZA"/>
              </w:rPr>
              <w:t>GLOSSARY</w:t>
            </w:r>
          </w:p>
          <w:p w:rsidR="00AB7884" w:rsidRPr="0034040D" w:rsidRDefault="00AB7884">
            <w:pPr>
              <w:spacing w:after="120"/>
              <w:rPr>
                <w:rFonts w:ascii="Trebuchet MS" w:eastAsiaTheme="minorEastAsia" w:hAnsi="Trebuchet MS" w:cs="Trebuchet MS"/>
                <w:lang w:val="en-ZA"/>
              </w:rPr>
            </w:pPr>
            <w:r w:rsidRPr="0034040D">
              <w:rPr>
                <w:rFonts w:ascii="Trebuchet MS" w:eastAsiaTheme="minorEastAsia" w:hAnsi="Trebuchet MS" w:cs="Trebuchet MS"/>
                <w:b/>
                <w:bCs/>
                <w:lang w:val="en-ZA"/>
              </w:rPr>
              <w:t xml:space="preserve">Food security: </w:t>
            </w:r>
            <w:r w:rsidRPr="0034040D">
              <w:rPr>
                <w:rFonts w:ascii="Trebuchet MS" w:eastAsiaTheme="minorEastAsia" w:hAnsi="Trebuchet MS" w:cs="Trebuchet MS"/>
                <w:lang w:val="en-ZA"/>
              </w:rPr>
              <w:t>The on-going availability of good quality foods, in enough quantities to enable people to live healthy lives.</w:t>
            </w:r>
          </w:p>
          <w:p w:rsidR="00AB7884" w:rsidRPr="0034040D" w:rsidRDefault="00AB7884">
            <w:pPr>
              <w:spacing w:after="240"/>
              <w:rPr>
                <w:rFonts w:eastAsiaTheme="minorEastAsia"/>
                <w:sz w:val="22"/>
                <w:szCs w:val="22"/>
              </w:rPr>
            </w:pPr>
            <w:r w:rsidRPr="0034040D">
              <w:rPr>
                <w:rFonts w:ascii="Trebuchet MS" w:eastAsiaTheme="minorEastAsia" w:hAnsi="Trebuchet MS" w:cs="Trebuchet MS"/>
                <w:b/>
                <w:bCs/>
                <w:lang w:val="en-ZA"/>
              </w:rPr>
              <w:t>Food insecurity</w:t>
            </w:r>
            <w:r w:rsidRPr="0034040D">
              <w:rPr>
                <w:rFonts w:ascii="Trebuchet MS" w:eastAsiaTheme="minorEastAsia" w:hAnsi="Trebuchet MS" w:cs="Trebuchet MS"/>
                <w:lang w:val="en-ZA"/>
              </w:rPr>
              <w:t>: Lack of access to enough good quality food, in enough quantities for people to live healthy lives.</w:t>
            </w:r>
            <w:r w:rsidRPr="0034040D">
              <w:rPr>
                <w:rFonts w:eastAsiaTheme="minorEastAsia"/>
                <w:lang w:val="en-ZA"/>
              </w:rPr>
              <w:t xml:space="preserve"> </w:t>
            </w:r>
          </w:p>
        </w:tc>
      </w:tr>
    </w:tbl>
    <w:p w:rsidR="00AB7884" w:rsidRDefault="00AB7884">
      <w:pPr>
        <w:tabs>
          <w:tab w:val="num" w:pos="720"/>
        </w:tabs>
        <w:spacing w:before="240" w:after="200"/>
        <w:rPr>
          <w:sz w:val="22"/>
          <w:szCs w:val="22"/>
        </w:rPr>
      </w:pPr>
      <w:r>
        <w:rPr>
          <w:sz w:val="22"/>
          <w:szCs w:val="22"/>
        </w:rPr>
        <w:t>The main anthropometric findings indicated the following:</w:t>
      </w:r>
    </w:p>
    <w:p w:rsidR="00AB7884" w:rsidRDefault="00AB7884" w:rsidP="007F44B4">
      <w:pPr>
        <w:pStyle w:val="ListParagraph"/>
        <w:numPr>
          <w:ilvl w:val="0"/>
          <w:numId w:val="32"/>
        </w:numPr>
        <w:spacing w:after="200"/>
        <w:rPr>
          <w:sz w:val="22"/>
          <w:szCs w:val="22"/>
        </w:rPr>
      </w:pPr>
      <w:r>
        <w:rPr>
          <w:sz w:val="22"/>
          <w:szCs w:val="22"/>
        </w:rPr>
        <w:t xml:space="preserve">One in five (20%) children was stunted; with children in the 1–3 age group being the most severely affected, particularly those living in rural areas and on commercial farms. </w:t>
      </w:r>
    </w:p>
    <w:p w:rsidR="00AB7884" w:rsidRDefault="00AB7884" w:rsidP="007F44B4">
      <w:pPr>
        <w:pStyle w:val="ListParagraph"/>
        <w:numPr>
          <w:ilvl w:val="0"/>
          <w:numId w:val="32"/>
        </w:numPr>
        <w:spacing w:after="200"/>
        <w:rPr>
          <w:sz w:val="22"/>
          <w:szCs w:val="22"/>
        </w:rPr>
      </w:pPr>
      <w:r>
        <w:rPr>
          <w:sz w:val="22"/>
          <w:szCs w:val="22"/>
        </w:rPr>
        <w:t>One in ten children was underweight.</w:t>
      </w:r>
    </w:p>
    <w:p w:rsidR="00AB7884" w:rsidRDefault="00AB7884" w:rsidP="007F44B4">
      <w:pPr>
        <w:pStyle w:val="ListParagraph"/>
        <w:numPr>
          <w:ilvl w:val="0"/>
          <w:numId w:val="32"/>
        </w:numPr>
        <w:spacing w:after="200"/>
        <w:rPr>
          <w:sz w:val="22"/>
          <w:szCs w:val="22"/>
        </w:rPr>
      </w:pPr>
      <w:r>
        <w:rPr>
          <w:sz w:val="22"/>
          <w:szCs w:val="22"/>
        </w:rPr>
        <w:t xml:space="preserve">The diet of the majority of children was deficient in energy and did not meet their nutrient requirements. This was worse in rural areas than urban areas. </w:t>
      </w:r>
    </w:p>
    <w:p w:rsidR="00AB7884" w:rsidRDefault="00AB7884" w:rsidP="007F44B4">
      <w:pPr>
        <w:pStyle w:val="ListParagraph"/>
        <w:numPr>
          <w:ilvl w:val="0"/>
          <w:numId w:val="32"/>
        </w:numPr>
        <w:spacing w:after="200"/>
        <w:rPr>
          <w:sz w:val="22"/>
          <w:szCs w:val="22"/>
        </w:rPr>
      </w:pPr>
      <w:r>
        <w:rPr>
          <w:sz w:val="22"/>
          <w:szCs w:val="22"/>
        </w:rPr>
        <w:t>In the children aged 1–3 years:</w:t>
      </w:r>
      <w:r>
        <w:rPr>
          <w:sz w:val="22"/>
          <w:szCs w:val="22"/>
        </w:rPr>
        <w:br/>
        <w:t>45% received less than two-thirds of their daily energy requirements</w:t>
      </w:r>
      <w:r>
        <w:rPr>
          <w:sz w:val="22"/>
          <w:szCs w:val="22"/>
        </w:rPr>
        <w:br/>
      </w:r>
      <w:r>
        <w:rPr>
          <w:sz w:val="22"/>
          <w:szCs w:val="22"/>
        </w:rPr>
        <w:lastRenderedPageBreak/>
        <w:t>80% received less than two-thirds of their daily iron requirements</w:t>
      </w:r>
      <w:r>
        <w:rPr>
          <w:sz w:val="22"/>
          <w:szCs w:val="22"/>
        </w:rPr>
        <w:br/>
        <w:t xml:space="preserve">65% received less than two-thirds of their daily Vitamin A requirements. </w:t>
      </w:r>
    </w:p>
    <w:p w:rsidR="00AB7884" w:rsidRDefault="00AB7884" w:rsidP="007F44B4">
      <w:pPr>
        <w:pStyle w:val="ListParagraph"/>
        <w:numPr>
          <w:ilvl w:val="0"/>
          <w:numId w:val="32"/>
        </w:numPr>
        <w:spacing w:after="200"/>
        <w:rPr>
          <w:sz w:val="22"/>
          <w:szCs w:val="22"/>
        </w:rPr>
      </w:pPr>
      <w:r>
        <w:rPr>
          <w:sz w:val="22"/>
          <w:szCs w:val="22"/>
        </w:rPr>
        <w:t xml:space="preserve">The five most commonly consumed foods across provinces were maize, sugar, tea, whole milk and brown bread. </w:t>
      </w:r>
    </w:p>
    <w:p w:rsidR="00AB7884" w:rsidRDefault="00AB7884" w:rsidP="007F44B4">
      <w:pPr>
        <w:pStyle w:val="ListParagraph"/>
        <w:numPr>
          <w:ilvl w:val="0"/>
          <w:numId w:val="32"/>
        </w:numPr>
        <w:spacing w:after="200"/>
        <w:rPr>
          <w:sz w:val="22"/>
          <w:szCs w:val="22"/>
        </w:rPr>
      </w:pPr>
      <w:r>
        <w:rPr>
          <w:sz w:val="22"/>
          <w:szCs w:val="22"/>
        </w:rPr>
        <w:t>Malnutrition caused by a lack of vitamins and minerals in the diet is known as ‘hidden hunger’. It has severe health consequences and can result in blindness, stunted growth, disease and death.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34040D" w:rsidTr="0021531A">
        <w:tc>
          <w:tcPr>
            <w:tcW w:w="8190" w:type="dxa"/>
          </w:tcPr>
          <w:p w:rsidR="00AB7884" w:rsidRPr="0034040D" w:rsidRDefault="00AB7884">
            <w:pPr>
              <w:tabs>
                <w:tab w:val="num" w:pos="720"/>
              </w:tabs>
              <w:spacing w:before="120" w:after="120"/>
              <w:rPr>
                <w:rFonts w:ascii="Trebuchet MS" w:eastAsiaTheme="minorEastAsia" w:hAnsi="Trebuchet MS" w:cs="Trebuchet MS"/>
                <w:b/>
                <w:bCs/>
              </w:rPr>
            </w:pPr>
            <w:r w:rsidRPr="0034040D">
              <w:rPr>
                <w:rFonts w:ascii="Trebuchet MS" w:eastAsiaTheme="minorEastAsia" w:hAnsi="Trebuchet MS" w:cs="Trebuchet MS"/>
                <w:b/>
                <w:bCs/>
              </w:rPr>
              <w:t>GLOSSARY</w:t>
            </w:r>
          </w:p>
          <w:p w:rsidR="00AB7884" w:rsidRPr="0034040D" w:rsidRDefault="00AB7884">
            <w:pPr>
              <w:tabs>
                <w:tab w:val="num" w:pos="720"/>
              </w:tabs>
              <w:spacing w:after="200"/>
              <w:rPr>
                <w:rFonts w:ascii="Trebuchet MS" w:eastAsiaTheme="minorEastAsia" w:hAnsi="Trebuchet MS" w:cs="Trebuchet MS"/>
              </w:rPr>
            </w:pPr>
            <w:r w:rsidRPr="0034040D">
              <w:rPr>
                <w:rFonts w:ascii="Trebuchet MS" w:eastAsiaTheme="minorEastAsia" w:hAnsi="Trebuchet MS" w:cs="Trebuchet MS"/>
                <w:b/>
                <w:bCs/>
              </w:rPr>
              <w:t>Anthropometry</w:t>
            </w:r>
            <w:r w:rsidRPr="0034040D">
              <w:rPr>
                <w:rFonts w:ascii="Trebuchet MS" w:eastAsiaTheme="minorEastAsia" w:hAnsi="Trebuchet MS" w:cs="Trebuchet MS"/>
              </w:rPr>
              <w:t>: The study of human body measurements, which are used as an index of physiological development and nutritional status. Various measurements provide different types of information, for example:</w:t>
            </w:r>
          </w:p>
          <w:p w:rsidR="00AB7884" w:rsidRPr="0034040D" w:rsidRDefault="00AB7884" w:rsidP="007F44B4">
            <w:pPr>
              <w:numPr>
                <w:ilvl w:val="0"/>
                <w:numId w:val="15"/>
              </w:numPr>
              <w:rPr>
                <w:rFonts w:ascii="Trebuchet MS" w:eastAsiaTheme="minorEastAsia" w:hAnsi="Trebuchet MS" w:cs="Trebuchet MS"/>
              </w:rPr>
            </w:pPr>
            <w:r w:rsidRPr="0034040D">
              <w:rPr>
                <w:rFonts w:ascii="Trebuchet MS" w:eastAsiaTheme="minorEastAsia" w:hAnsi="Trebuchet MS" w:cs="Trebuchet MS"/>
              </w:rPr>
              <w:t>Weight for age provides information about the overall nutritional status of children. Evidence shows an increased mortality risk of children who are mildly underweight; and this risk is even greater in severely underweight children.</w:t>
            </w:r>
          </w:p>
          <w:p w:rsidR="00AB7884" w:rsidRPr="0034040D" w:rsidRDefault="00AB7884" w:rsidP="007F44B4">
            <w:pPr>
              <w:numPr>
                <w:ilvl w:val="0"/>
                <w:numId w:val="15"/>
              </w:numPr>
              <w:rPr>
                <w:rFonts w:ascii="Trebuchet MS" w:eastAsiaTheme="minorEastAsia" w:hAnsi="Trebuchet MS" w:cs="Trebuchet MS"/>
                <w:sz w:val="22"/>
                <w:szCs w:val="22"/>
              </w:rPr>
            </w:pPr>
            <w:r w:rsidRPr="0034040D">
              <w:rPr>
                <w:rFonts w:ascii="Trebuchet MS" w:eastAsiaTheme="minorEastAsia" w:hAnsi="Trebuchet MS" w:cs="Trebuchet MS"/>
              </w:rPr>
              <w:t>Weight for height is used to measure acute under-nutrition or wasting, which is a consequence of insufficient food intake and/or repeated infection, such as diarrhoea. Wasting impairs the immune system, placing the child at high risk of illness and death.</w:t>
            </w:r>
          </w:p>
          <w:p w:rsidR="00AB7884" w:rsidRPr="0034040D" w:rsidRDefault="00AB7884" w:rsidP="007F44B4">
            <w:pPr>
              <w:numPr>
                <w:ilvl w:val="0"/>
                <w:numId w:val="15"/>
              </w:numPr>
              <w:spacing w:after="120"/>
              <w:rPr>
                <w:rFonts w:eastAsiaTheme="minorEastAsia"/>
                <w:sz w:val="22"/>
                <w:szCs w:val="22"/>
              </w:rPr>
            </w:pPr>
            <w:r w:rsidRPr="0034040D">
              <w:rPr>
                <w:rFonts w:ascii="Trebuchet MS" w:eastAsiaTheme="minorEastAsia" w:hAnsi="Trebuchet MS" w:cs="Trebuchet MS"/>
              </w:rPr>
              <w:t xml:space="preserve">Height for age is used to measure stunting or growth retardation as a result of long-term nutritional deprivation or repeated infections, which place the child at high risk of illness and death. </w:t>
            </w:r>
          </w:p>
        </w:tc>
      </w:tr>
    </w:tbl>
    <w:p w:rsidR="00AB7884" w:rsidRDefault="00AB7884">
      <w:pPr>
        <w:tabs>
          <w:tab w:val="num" w:pos="720"/>
        </w:tabs>
        <w:spacing w:before="240" w:after="120"/>
        <w:rPr>
          <w:sz w:val="22"/>
          <w:szCs w:val="22"/>
        </w:rPr>
      </w:pPr>
      <w:r>
        <w:rPr>
          <w:sz w:val="22"/>
          <w:szCs w:val="22"/>
        </w:rPr>
        <w:t xml:space="preserve">On the basis of the data obtained from the NFCS, the Department of Health argued for food fortification – manufacturers had to add iron, zinc, vitamin A, thiamine, riboflavin and vitamin B6 to maize. This was legislated at the end of 2003. This was good for middle and high-income population groups who buy their flour in shops, but not very useful to the poor who really needed the vitamins, but either relied on local maize mills or could not afford the more expensive fortified brands. </w:t>
      </w:r>
    </w:p>
    <w:p w:rsidR="00AB7884" w:rsidRDefault="00AB7884">
      <w:pPr>
        <w:autoSpaceDE w:val="0"/>
        <w:autoSpaceDN w:val="0"/>
        <w:adjustRightInd w:val="0"/>
        <w:rPr>
          <w:sz w:val="22"/>
          <w:szCs w:val="22"/>
        </w:rPr>
      </w:pPr>
      <w:r>
        <w:rPr>
          <w:sz w:val="22"/>
          <w:szCs w:val="22"/>
        </w:rPr>
        <w:t>Between February and May 2005, a second National Food Consumption Survey (GAIN, 2005) was undertaken on behalf of the Department of Health to monitor and evaluate the food fortification policy. The nutritional status of children under five years, at a national level showed that s</w:t>
      </w:r>
      <w:r>
        <w:rPr>
          <w:color w:val="000000"/>
          <w:sz w:val="22"/>
          <w:szCs w:val="22"/>
          <w:lang w:val="en-ZA"/>
        </w:rPr>
        <w:t>tunting and underweight remained the most common nutritional disorders (</w:t>
      </w:r>
      <w:r>
        <w:rPr>
          <w:sz w:val="22"/>
          <w:szCs w:val="22"/>
        </w:rPr>
        <w:t xml:space="preserve">12% of children were underweight; 27% were stunted; and 5% were wasted). </w:t>
      </w:r>
    </w:p>
    <w:p w:rsidR="00AB7884" w:rsidRDefault="00AB7884">
      <w:pPr>
        <w:autoSpaceDE w:val="0"/>
        <w:autoSpaceDN w:val="0"/>
        <w:adjustRightInd w:val="0"/>
        <w:rPr>
          <w:sz w:val="22"/>
          <w:szCs w:val="22"/>
          <w:lang w:val="en-ZA" w:eastAsia="nb-NO"/>
        </w:rPr>
      </w:pPr>
    </w:p>
    <w:p w:rsidR="00AB7884" w:rsidRDefault="00AB7884">
      <w:pPr>
        <w:tabs>
          <w:tab w:val="num" w:pos="720"/>
        </w:tabs>
        <w:spacing w:after="200"/>
        <w:rPr>
          <w:color w:val="000000"/>
          <w:sz w:val="22"/>
          <w:szCs w:val="22"/>
          <w:lang w:val="en-ZA"/>
        </w:rPr>
      </w:pPr>
      <w:r>
        <w:rPr>
          <w:sz w:val="22"/>
          <w:szCs w:val="22"/>
        </w:rPr>
        <w:t xml:space="preserve">WHO statistics (see Figure 2.2.5) show that the </w:t>
      </w:r>
      <w:r>
        <w:rPr>
          <w:color w:val="000000"/>
          <w:sz w:val="22"/>
          <w:szCs w:val="22"/>
          <w:lang w:val="en-ZA"/>
        </w:rPr>
        <w:t>nutritional status of children has fluctuated slightly over the 15 year period from 1994 to 2008, with stunting still being the most common nutritional disorder.</w:t>
      </w:r>
    </w:p>
    <w:p w:rsidR="00AB7884" w:rsidRDefault="00AB7884">
      <w:pPr>
        <w:tabs>
          <w:tab w:val="num" w:pos="720"/>
        </w:tabs>
        <w:spacing w:before="120" w:after="120"/>
        <w:rPr>
          <w:rFonts w:ascii="Trebuchet MS" w:hAnsi="Trebuchet MS" w:cs="Trebuchet MS"/>
          <w:b/>
          <w:bCs/>
          <w:sz w:val="22"/>
          <w:szCs w:val="22"/>
        </w:rPr>
      </w:pPr>
      <w:r>
        <w:rPr>
          <w:rFonts w:ascii="Trebuchet MS" w:hAnsi="Trebuchet MS" w:cs="Trebuchet MS"/>
          <w:b/>
          <w:bCs/>
          <w:sz w:val="22"/>
          <w:szCs w:val="22"/>
        </w:rPr>
        <w:br w:type="page"/>
      </w:r>
      <w:r>
        <w:rPr>
          <w:rFonts w:ascii="Trebuchet MS" w:hAnsi="Trebuchet MS" w:cs="Trebuchet MS"/>
          <w:b/>
          <w:bCs/>
          <w:sz w:val="22"/>
          <w:szCs w:val="22"/>
        </w:rPr>
        <w:lastRenderedPageBreak/>
        <w:t>Figure 2.2.4 Child under five years anthropometry in South Africa, WHO</w:t>
      </w:r>
    </w:p>
    <w:p w:rsidR="00AB7884" w:rsidRDefault="00717A10">
      <w:pPr>
        <w:rPr>
          <w:rFonts w:ascii="Times New Roman" w:hAnsi="Times New Roman" w:cs="Times New Roman"/>
        </w:rPr>
      </w:pPr>
      <w:r w:rsidRPr="00717A10">
        <w:rPr>
          <w:rFonts w:ascii="Times New Roman" w:hAnsi="Times New Roman" w:cs="Times New Roman"/>
          <w:noProof/>
          <w:lang w:val="en-ZA" w:eastAsia="en-ZA"/>
        </w:rPr>
        <w:pict>
          <v:shape id="Picture 2050" o:spid="_x0000_i1053" type="#_x0000_t75" style="width:220.5pt;height:220.5pt;visibility:visible">
            <v:imagedata r:id="rId34" o:title=""/>
          </v:shape>
        </w:pict>
      </w:r>
    </w:p>
    <w:p w:rsidR="00AB7884" w:rsidRDefault="00AB7884">
      <w:pPr>
        <w:spacing w:before="120" w:after="120"/>
        <w:rPr>
          <w:lang w:eastAsia="en-ZA"/>
        </w:rPr>
      </w:pPr>
      <w:r>
        <w:rPr>
          <w:b/>
          <w:bCs/>
          <w:i/>
          <w:iCs/>
        </w:rPr>
        <w:t>Source</w:t>
      </w:r>
      <w:r>
        <w:t>: WHO Nutrition, 2012</w:t>
      </w:r>
    </w:p>
    <w:p w:rsidR="00AB7884" w:rsidRDefault="00AB7884">
      <w:pPr>
        <w:pStyle w:val="NormalWeb"/>
        <w:spacing w:before="0" w:beforeAutospacing="0" w:after="0" w:afterAutospacing="0"/>
        <w:ind w:left="720"/>
        <w:rPr>
          <w:rFonts w:ascii="Trebuchet MS" w:hAnsi="Trebuchet MS" w:cs="Trebuchet MS"/>
          <w:sz w:val="22"/>
          <w:szCs w:val="22"/>
        </w:rPr>
      </w:pPr>
      <w:r>
        <w:rPr>
          <w:rFonts w:ascii="Trebuchet MS" w:hAnsi="Trebuchet MS" w:cs="Trebuchet MS"/>
          <w:i/>
          <w:iCs/>
          <w:sz w:val="22"/>
          <w:szCs w:val="22"/>
        </w:rPr>
        <w:t xml:space="preserve">“A common myth is that people are hungry because there is not enough food available or because of over-population, or because of a one-off disaster or crop failure. However, it is almost always chronic, long-term poverty that prevents people from buying what is readily available in their local markets” </w:t>
      </w:r>
      <w:r>
        <w:rPr>
          <w:rFonts w:ascii="Trebuchet MS" w:hAnsi="Trebuchet MS" w:cs="Trebuchet MS"/>
          <w:sz w:val="22"/>
          <w:szCs w:val="22"/>
        </w:rPr>
        <w:t>(AlertNet, 2011).</w:t>
      </w:r>
    </w:p>
    <w:p w:rsidR="00AB7884" w:rsidRDefault="00AB7884">
      <w:pPr>
        <w:pStyle w:val="NormalWeb"/>
        <w:spacing w:before="0" w:beforeAutospacing="0" w:after="0" w:afterAutospacing="0"/>
        <w:ind w:left="720"/>
        <w:rPr>
          <w:rFonts w:ascii="Trebuchet MS" w:hAnsi="Trebuchet MS" w:cs="Trebuchet MS"/>
          <w:sz w:val="22"/>
          <w:szCs w:val="22"/>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4"/>
        <w:gridCol w:w="7126"/>
      </w:tblGrid>
      <w:tr w:rsidR="00AB7884" w:rsidRPr="0034040D" w:rsidTr="0021531A">
        <w:trPr>
          <w:trHeight w:val="1188"/>
        </w:trPr>
        <w:tc>
          <w:tcPr>
            <w:tcW w:w="1334" w:type="dxa"/>
          </w:tcPr>
          <w:p w:rsidR="00AB7884" w:rsidRPr="0034040D" w:rsidRDefault="00C42A6B">
            <w:pPr>
              <w:spacing w:before="120" w:after="120"/>
              <w:rPr>
                <w:rFonts w:ascii="Trebuchet MS" w:eastAsiaTheme="minorEastAsia" w:hAnsi="Trebuchet MS" w:cs="Trebuchet MS"/>
                <w:b/>
                <w:bCs/>
              </w:rPr>
            </w:pPr>
            <w:r w:rsidRPr="00717A10">
              <w:rPr>
                <w:rFonts w:ascii="Trebuchet MS" w:eastAsiaTheme="minorEastAsia" w:hAnsi="Trebuchet MS" w:cs="Trebuchet MS"/>
              </w:rPr>
              <w:pict>
                <v:shape id="_x0000_i1054" type="#_x0000_t75" style="width:51pt;height:63pt" filled="t" fillcolor="silver">
                  <v:imagedata r:id="rId10" o:title=""/>
                </v:shape>
              </w:pict>
            </w:r>
          </w:p>
        </w:tc>
        <w:tc>
          <w:tcPr>
            <w:tcW w:w="7126" w:type="dxa"/>
          </w:tcPr>
          <w:p w:rsidR="00AB7884" w:rsidRPr="0034040D" w:rsidRDefault="00AB7884">
            <w:pPr>
              <w:pStyle w:val="EndnoteText"/>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DVD Resource</w:t>
            </w:r>
          </w:p>
          <w:p w:rsidR="00AB7884" w:rsidRPr="0034040D" w:rsidRDefault="00AB7884">
            <w:pPr>
              <w:pStyle w:val="EndnoteText"/>
              <w:spacing w:before="120" w:after="120"/>
              <w:rPr>
                <w:rFonts w:ascii="Trebuchet MS" w:eastAsiaTheme="minorEastAsia" w:hAnsi="Trebuchet MS" w:cs="Trebuchet MS"/>
                <w:color w:val="000000"/>
                <w:sz w:val="22"/>
                <w:szCs w:val="22"/>
              </w:rPr>
            </w:pPr>
            <w:r w:rsidRPr="0034040D">
              <w:rPr>
                <w:rFonts w:ascii="Trebuchet MS" w:eastAsiaTheme="minorEastAsia" w:hAnsi="Trebuchet MS" w:cs="Trebuchet MS"/>
                <w:sz w:val="22"/>
                <w:szCs w:val="22"/>
              </w:rPr>
              <w:t>Save the Children UK. (2012).</w:t>
            </w:r>
            <w:r w:rsidRPr="0034040D">
              <w:rPr>
                <w:rFonts w:ascii="Trebuchet MS" w:eastAsiaTheme="minorEastAsia" w:hAnsi="Trebuchet MS" w:cs="Trebuchet MS"/>
                <w:i/>
                <w:iCs/>
                <w:color w:val="000000"/>
                <w:sz w:val="22"/>
                <w:szCs w:val="22"/>
              </w:rPr>
              <w:t xml:space="preserve"> A life free from hunger: Tackling child malnutrition.</w:t>
            </w:r>
            <w:r w:rsidRPr="0034040D">
              <w:rPr>
                <w:rFonts w:ascii="Trebuchet MS" w:eastAsiaTheme="minorEastAsia" w:hAnsi="Trebuchet MS" w:cs="Trebuchet MS"/>
                <w:color w:val="000000"/>
                <w:sz w:val="22"/>
                <w:szCs w:val="22"/>
              </w:rPr>
              <w:t xml:space="preserve"> Save the Children, UK</w:t>
            </w:r>
            <w:r w:rsidR="009B2533">
              <w:rPr>
                <w:rFonts w:ascii="Trebuchet MS" w:eastAsiaTheme="minorEastAsia" w:hAnsi="Trebuchet MS" w:cs="Trebuchet MS"/>
                <w:color w:val="000000"/>
                <w:sz w:val="22"/>
                <w:szCs w:val="22"/>
              </w:rPr>
              <w:t>: 1-8</w:t>
            </w:r>
            <w:r w:rsidRPr="0034040D">
              <w:rPr>
                <w:rFonts w:ascii="Trebuchet MS" w:eastAsiaTheme="minorEastAsia" w:hAnsi="Trebuchet MS" w:cs="Trebuchet MS"/>
                <w:color w:val="000000"/>
                <w:sz w:val="22"/>
                <w:szCs w:val="22"/>
              </w:rPr>
              <w:t>.</w:t>
            </w:r>
            <w:r w:rsidR="000112F7">
              <w:rPr>
                <w:rFonts w:ascii="Trebuchet MS" w:eastAsiaTheme="minorEastAsia" w:hAnsi="Trebuchet MS" w:cs="Trebuchet MS"/>
                <w:color w:val="000000"/>
                <w:sz w:val="22"/>
                <w:szCs w:val="22"/>
              </w:rPr>
              <w:t>[See DVD</w:t>
            </w:r>
            <w:r w:rsidR="00A76DF7">
              <w:rPr>
                <w:rFonts w:ascii="Trebuchet MS" w:eastAsiaTheme="minorEastAsia" w:hAnsi="Trebuchet MS" w:cs="Trebuchet MS"/>
                <w:color w:val="000000"/>
                <w:sz w:val="22"/>
                <w:szCs w:val="22"/>
              </w:rPr>
              <w:t xml:space="preserve">  Unit 2</w:t>
            </w:r>
            <w:r w:rsidR="000112F7">
              <w:rPr>
                <w:rFonts w:ascii="Trebuchet MS" w:eastAsiaTheme="minorEastAsia" w:hAnsi="Trebuchet MS" w:cs="Trebuchet MS"/>
                <w:color w:val="000000"/>
                <w:sz w:val="22"/>
                <w:szCs w:val="22"/>
              </w:rPr>
              <w:t>]</w:t>
            </w:r>
          </w:p>
        </w:tc>
      </w:tr>
    </w:tbl>
    <w:p w:rsidR="00AB7884" w:rsidRDefault="00AB7884">
      <w:pPr>
        <w:pStyle w:val="NormalWeb"/>
        <w:spacing w:before="0" w:beforeAutospacing="0" w:after="0" w:afterAutospacing="0"/>
        <w:rPr>
          <w:rFonts w:ascii="Trebuchet MS" w:hAnsi="Trebuchet MS" w:cs="Trebuchet MS"/>
          <w:b/>
          <w:bCs/>
          <w:sz w:val="22"/>
          <w:szCs w:val="22"/>
        </w:rPr>
      </w:pPr>
      <w:r>
        <w:rPr>
          <w:rFonts w:ascii="Trebuchet MS" w:hAnsi="Trebuchet MS" w:cs="Trebuchet MS"/>
          <w:b/>
          <w:bCs/>
          <w:sz w:val="22"/>
          <w:szCs w:val="22"/>
        </w:rPr>
        <w:t xml:space="preserve"> </w:t>
      </w:r>
    </w:p>
    <w:p w:rsidR="00AB7884" w:rsidRDefault="00AB7884">
      <w:pPr>
        <w:pStyle w:val="NormalWeb"/>
        <w:spacing w:before="0" w:beforeAutospacing="0" w:after="0" w:afterAutospacing="0"/>
        <w:rPr>
          <w:rFonts w:ascii="Trebuchet MS" w:hAnsi="Trebuchet MS" w:cs="Trebuchet MS"/>
          <w:b/>
          <w:bCs/>
          <w:sz w:val="22"/>
          <w:szCs w:val="22"/>
        </w:rPr>
      </w:pPr>
    </w:p>
    <w:p w:rsidR="00AB7884" w:rsidRDefault="00AB7884">
      <w:pPr>
        <w:pStyle w:val="NormalWeb"/>
        <w:spacing w:before="0" w:beforeAutospacing="0" w:after="0" w:afterAutospacing="0"/>
        <w:rPr>
          <w:rFonts w:ascii="Trebuchet MS" w:hAnsi="Trebuchet MS" w:cs="Trebuchet MS"/>
          <w:b/>
          <w:bCs/>
          <w:color w:val="FF0000"/>
          <w:sz w:val="28"/>
          <w:szCs w:val="28"/>
        </w:rPr>
      </w:pPr>
      <w:r>
        <w:rPr>
          <w:rFonts w:ascii="Trebuchet MS" w:hAnsi="Trebuchet MS" w:cs="Trebuchet MS"/>
          <w:b/>
          <w:bCs/>
          <w:sz w:val="28"/>
          <w:szCs w:val="28"/>
        </w:rPr>
        <w:t>6</w:t>
      </w:r>
      <w:r>
        <w:rPr>
          <w:rFonts w:ascii="Trebuchet MS" w:hAnsi="Trebuchet MS" w:cs="Trebuchet MS"/>
          <w:b/>
          <w:bCs/>
          <w:sz w:val="28"/>
          <w:szCs w:val="28"/>
        </w:rPr>
        <w:tab/>
        <w:t xml:space="preserve">OVER-NUTRITION IN SOUTH AFRICA </w:t>
      </w:r>
    </w:p>
    <w:p w:rsidR="00AB7884" w:rsidRDefault="00717A10">
      <w:pPr>
        <w:rPr>
          <w:rFonts w:ascii="Trebuchet MS" w:hAnsi="Trebuchet MS" w:cs="Trebuchet MS"/>
          <w:b/>
          <w:bCs/>
          <w:sz w:val="18"/>
          <w:szCs w:val="18"/>
        </w:rPr>
      </w:pPr>
      <w:r w:rsidRPr="00717A10">
        <w:rPr>
          <w:color w:val="FF0000"/>
          <w:sz w:val="24"/>
          <w:szCs w:val="24"/>
        </w:rPr>
        <w:pict>
          <v:rect id="_x0000_i1055" style="width:425.2pt;height:2pt" o:hralign="center" o:hrstd="t" o:hrnoshade="t" o:hr="t" fillcolor="black" stroked="f"/>
        </w:pict>
      </w:r>
    </w:p>
    <w:p w:rsidR="00AB7884" w:rsidRDefault="00AB7884">
      <w:pPr>
        <w:spacing w:before="120" w:after="120"/>
        <w:rPr>
          <w:color w:val="000000"/>
          <w:sz w:val="22"/>
          <w:szCs w:val="22"/>
          <w:lang w:val="en-ZA"/>
        </w:rPr>
      </w:pPr>
      <w:r>
        <w:rPr>
          <w:color w:val="000000"/>
          <w:sz w:val="22"/>
          <w:szCs w:val="22"/>
          <w:lang w:val="en-ZA"/>
        </w:rPr>
        <w:t xml:space="preserve">On the other end of the nutrition continuum is over-nutrition, which results in overweight and predisposes people to diet-related NCDs, such as obesity, high blood pressure (hypertension), diabetes, high cholesterol, premature heart disease and certain cancers.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AB7884" w:rsidRPr="0034040D" w:rsidTr="0021531A">
        <w:tc>
          <w:tcPr>
            <w:tcW w:w="8460" w:type="dxa"/>
          </w:tcPr>
          <w:p w:rsidR="00AB7884" w:rsidRPr="0034040D" w:rsidRDefault="00AB7884">
            <w:pPr>
              <w:spacing w:before="120" w:after="120"/>
              <w:rPr>
                <w:rFonts w:ascii="Trebuchet MS" w:eastAsiaTheme="minorEastAsia" w:hAnsi="Trebuchet MS" w:cs="Trebuchet MS"/>
                <w:b/>
                <w:bCs/>
                <w:sz w:val="18"/>
                <w:szCs w:val="18"/>
                <w:lang w:val="en-ZA" w:eastAsia="en-ZA"/>
              </w:rPr>
            </w:pPr>
            <w:r w:rsidRPr="0034040D">
              <w:rPr>
                <w:rFonts w:ascii="Trebuchet MS" w:eastAsiaTheme="minorEastAsia" w:hAnsi="Trebuchet MS" w:cs="Trebuchet MS"/>
                <w:b/>
                <w:bCs/>
                <w:sz w:val="18"/>
                <w:szCs w:val="18"/>
                <w:lang w:val="en-ZA" w:eastAsia="en-ZA"/>
              </w:rPr>
              <w:t>GLOSSARY</w:t>
            </w:r>
          </w:p>
          <w:p w:rsidR="00AB7884" w:rsidRPr="0034040D" w:rsidRDefault="00AB7884">
            <w:pPr>
              <w:spacing w:before="120" w:after="120"/>
              <w:rPr>
                <w:rFonts w:ascii="Trebuchet MS" w:eastAsiaTheme="minorEastAsia" w:hAnsi="Trebuchet MS" w:cs="Trebuchet MS"/>
                <w:sz w:val="18"/>
                <w:szCs w:val="18"/>
                <w:lang w:val="en-ZA" w:eastAsia="en-ZA"/>
              </w:rPr>
            </w:pPr>
            <w:r w:rsidRPr="0034040D">
              <w:rPr>
                <w:rFonts w:ascii="Trebuchet MS" w:eastAsiaTheme="minorEastAsia" w:hAnsi="Trebuchet MS" w:cs="Trebuchet MS"/>
                <w:b/>
                <w:bCs/>
                <w:sz w:val="18"/>
                <w:szCs w:val="18"/>
                <w:lang w:val="en-ZA" w:eastAsia="en-ZA"/>
              </w:rPr>
              <w:t xml:space="preserve">Obesity: </w:t>
            </w:r>
            <w:r w:rsidRPr="0034040D">
              <w:rPr>
                <w:rFonts w:ascii="Trebuchet MS" w:eastAsiaTheme="minorEastAsia" w:hAnsi="Trebuchet MS" w:cs="Trebuchet MS"/>
                <w:sz w:val="18"/>
                <w:szCs w:val="18"/>
                <w:lang w:val="en-ZA" w:eastAsia="en-ZA"/>
              </w:rPr>
              <w:t>An imbalance between energy intake and expenditure so that excess energy is stored in fat cells. Body Mass Index (BMI) is used as an indicator of obesity and the waist/hip ratio (WHR) is used as an indicator of abdominal obesity.</w:t>
            </w:r>
          </w:p>
          <w:p w:rsidR="00AB7884" w:rsidRPr="0034040D" w:rsidRDefault="00AB7884">
            <w:pPr>
              <w:rPr>
                <w:rFonts w:ascii="Trebuchet MS" w:eastAsiaTheme="minorEastAsia" w:hAnsi="Trebuchet MS" w:cs="Trebuchet MS"/>
                <w:sz w:val="18"/>
                <w:szCs w:val="18"/>
              </w:rPr>
            </w:pPr>
            <w:r w:rsidRPr="0034040D">
              <w:rPr>
                <w:rFonts w:ascii="Trebuchet MS" w:eastAsiaTheme="minorEastAsia" w:hAnsi="Trebuchet MS" w:cs="Trebuchet MS"/>
                <w:b/>
                <w:bCs/>
                <w:sz w:val="18"/>
                <w:szCs w:val="18"/>
              </w:rPr>
              <w:t xml:space="preserve">Body mass index (BMI): </w:t>
            </w:r>
            <w:r w:rsidRPr="0034040D">
              <w:rPr>
                <w:rFonts w:ascii="Trebuchet MS" w:eastAsiaTheme="minorEastAsia" w:hAnsi="Trebuchet MS" w:cs="Trebuchet MS"/>
                <w:sz w:val="18"/>
                <w:szCs w:val="18"/>
              </w:rPr>
              <w:t>A measure of body fat based on height and weight. It is calculated by using the person’s body weight divided by the square of his or her height (kg/m</w:t>
            </w:r>
            <w:r w:rsidRPr="0034040D">
              <w:rPr>
                <w:rFonts w:ascii="Trebuchet MS" w:eastAsiaTheme="minorEastAsia" w:hAnsi="Trebuchet MS" w:cs="Trebuchet MS"/>
                <w:sz w:val="18"/>
                <w:szCs w:val="18"/>
                <w:vertAlign w:val="superscript"/>
              </w:rPr>
              <w:t>2</w:t>
            </w:r>
            <w:r w:rsidRPr="0034040D">
              <w:rPr>
                <w:rFonts w:ascii="Trebuchet MS" w:eastAsiaTheme="minorEastAsia" w:hAnsi="Trebuchet MS" w:cs="Trebuchet MS"/>
                <w:sz w:val="18"/>
                <w:szCs w:val="18"/>
              </w:rPr>
              <w:t>).</w:t>
            </w:r>
          </w:p>
          <w:p w:rsidR="00AB7884" w:rsidRPr="0034040D" w:rsidRDefault="00AB7884">
            <w:pPr>
              <w:rPr>
                <w:rFonts w:ascii="Trebuchet MS" w:eastAsiaTheme="minorEastAsia" w:hAnsi="Trebuchet MS" w:cs="Trebuchet MS"/>
                <w:sz w:val="18"/>
                <w:szCs w:val="18"/>
                <w:lang w:val="en-ZA" w:eastAsia="en-ZA"/>
              </w:rPr>
            </w:pPr>
            <w:r w:rsidRPr="0034040D">
              <w:rPr>
                <w:rFonts w:ascii="Trebuchet MS" w:eastAsiaTheme="minorEastAsia" w:hAnsi="Trebuchet MS" w:cs="Trebuchet MS"/>
                <w:sz w:val="18"/>
                <w:szCs w:val="18"/>
                <w:lang w:val="en-ZA" w:eastAsia="en-ZA"/>
              </w:rPr>
              <w:t>Underweight = &lt;18.5</w:t>
            </w:r>
          </w:p>
          <w:p w:rsidR="00AB7884" w:rsidRPr="0034040D" w:rsidRDefault="00AB7884">
            <w:pPr>
              <w:rPr>
                <w:rFonts w:ascii="Trebuchet MS" w:eastAsiaTheme="minorEastAsia" w:hAnsi="Trebuchet MS" w:cs="Trebuchet MS"/>
                <w:sz w:val="18"/>
                <w:szCs w:val="18"/>
                <w:lang w:val="en-ZA" w:eastAsia="en-ZA"/>
              </w:rPr>
            </w:pPr>
            <w:r w:rsidRPr="0034040D">
              <w:rPr>
                <w:rFonts w:ascii="Trebuchet MS" w:eastAsiaTheme="minorEastAsia" w:hAnsi="Trebuchet MS" w:cs="Trebuchet MS"/>
                <w:sz w:val="18"/>
                <w:szCs w:val="18"/>
                <w:lang w:val="en-ZA" w:eastAsia="en-ZA"/>
              </w:rPr>
              <w:t xml:space="preserve">Normal weight = 18.5–24.9 </w:t>
            </w:r>
          </w:p>
          <w:p w:rsidR="00AB7884" w:rsidRPr="0034040D" w:rsidRDefault="00AB7884">
            <w:pPr>
              <w:rPr>
                <w:rFonts w:ascii="Trebuchet MS" w:eastAsiaTheme="minorEastAsia" w:hAnsi="Trebuchet MS" w:cs="Trebuchet MS"/>
                <w:sz w:val="18"/>
                <w:szCs w:val="18"/>
                <w:lang w:val="en-ZA" w:eastAsia="en-ZA"/>
              </w:rPr>
            </w:pPr>
            <w:r w:rsidRPr="0034040D">
              <w:rPr>
                <w:rFonts w:ascii="Trebuchet MS" w:eastAsiaTheme="minorEastAsia" w:hAnsi="Trebuchet MS" w:cs="Trebuchet MS"/>
                <w:sz w:val="18"/>
                <w:szCs w:val="18"/>
                <w:lang w:val="en-ZA" w:eastAsia="en-ZA"/>
              </w:rPr>
              <w:t xml:space="preserve">Overweight = 25–29.9 </w:t>
            </w:r>
          </w:p>
          <w:p w:rsidR="00AB7884" w:rsidRPr="0034040D" w:rsidRDefault="00AB7884">
            <w:pPr>
              <w:spacing w:after="120"/>
              <w:rPr>
                <w:rFonts w:eastAsiaTheme="minorEastAsia"/>
                <w:sz w:val="22"/>
                <w:szCs w:val="22"/>
                <w:lang w:val="en-ZA" w:eastAsia="en-ZA"/>
              </w:rPr>
            </w:pPr>
            <w:r w:rsidRPr="0034040D">
              <w:rPr>
                <w:rFonts w:ascii="Trebuchet MS" w:eastAsiaTheme="minorEastAsia" w:hAnsi="Trebuchet MS" w:cs="Trebuchet MS"/>
                <w:sz w:val="18"/>
                <w:szCs w:val="18"/>
                <w:lang w:val="en-ZA" w:eastAsia="en-ZA"/>
              </w:rPr>
              <w:t>Obesity = BMI of 30 or greater</w:t>
            </w:r>
          </w:p>
        </w:tc>
      </w:tr>
    </w:tbl>
    <w:p w:rsidR="00AB7884" w:rsidRDefault="00AB7884">
      <w:pPr>
        <w:tabs>
          <w:tab w:val="num" w:pos="720"/>
        </w:tabs>
        <w:spacing w:before="240" w:after="200"/>
        <w:rPr>
          <w:color w:val="000000"/>
          <w:sz w:val="22"/>
          <w:szCs w:val="22"/>
          <w:lang w:val="en-ZA"/>
        </w:rPr>
      </w:pPr>
      <w:r>
        <w:rPr>
          <w:color w:val="000000"/>
          <w:sz w:val="22"/>
          <w:szCs w:val="22"/>
          <w:lang w:val="en-ZA"/>
        </w:rPr>
        <w:lastRenderedPageBreak/>
        <w:t xml:space="preserve">WHO estimates that 1,3 billion people in the world are either overweight or obese. In developed countries, such as the USA, the prevalence of obesity in 2007 was as high as 33% in men and 36% in women (Bessesen, 2008). </w:t>
      </w:r>
    </w:p>
    <w:p w:rsidR="00AB7884" w:rsidRDefault="00AB7884">
      <w:pPr>
        <w:tabs>
          <w:tab w:val="num" w:pos="720"/>
        </w:tabs>
        <w:spacing w:after="200"/>
        <w:rPr>
          <w:sz w:val="22"/>
          <w:szCs w:val="22"/>
          <w:lang w:eastAsia="en-ZA"/>
        </w:rPr>
      </w:pPr>
      <w:r>
        <w:rPr>
          <w:color w:val="000000"/>
          <w:sz w:val="22"/>
          <w:szCs w:val="22"/>
          <w:lang w:val="en-ZA"/>
        </w:rPr>
        <w:t>The first South African Demographic and Health Survey (SADHS) was undertaken in 1998 and included a sample of 13 089 South Africans between 15 and 95 years old</w:t>
      </w:r>
      <w:r>
        <w:rPr>
          <w:sz w:val="22"/>
          <w:szCs w:val="22"/>
          <w:lang w:val="en-ZA"/>
        </w:rPr>
        <w:t xml:space="preserve"> – 7 726 women</w:t>
      </w:r>
      <w:r>
        <w:rPr>
          <w:color w:val="000000"/>
          <w:sz w:val="22"/>
          <w:szCs w:val="22"/>
          <w:lang w:val="en-ZA"/>
        </w:rPr>
        <w:t xml:space="preserve"> and </w:t>
      </w:r>
      <w:r>
        <w:rPr>
          <w:sz w:val="22"/>
          <w:szCs w:val="22"/>
          <w:lang w:val="en-ZA"/>
        </w:rPr>
        <w:t xml:space="preserve">5 401 men. </w:t>
      </w:r>
      <w:r>
        <w:rPr>
          <w:color w:val="000000"/>
          <w:sz w:val="22"/>
          <w:szCs w:val="22"/>
          <w:lang w:val="en-ZA"/>
        </w:rPr>
        <w:t xml:space="preserve">Results indicated that age, gender, demographics, ethnicity and socio-economic status influenced the prevalence of obesity across population groups, with the highest levels of </w:t>
      </w:r>
      <w:r>
        <w:rPr>
          <w:sz w:val="22"/>
          <w:szCs w:val="22"/>
          <w:lang w:eastAsia="en-ZA"/>
        </w:rPr>
        <w:t xml:space="preserve">obesity being in urban African women (see Figure 2.2.6) (Puoane </w:t>
      </w:r>
      <w:r>
        <w:rPr>
          <w:i/>
          <w:iCs/>
          <w:sz w:val="22"/>
          <w:szCs w:val="22"/>
          <w:lang w:eastAsia="en-ZA"/>
        </w:rPr>
        <w:t>et al</w:t>
      </w:r>
      <w:r>
        <w:rPr>
          <w:sz w:val="22"/>
          <w:szCs w:val="22"/>
          <w:lang w:eastAsia="en-ZA"/>
        </w:rPr>
        <w:t xml:space="preserve">., 2002). </w:t>
      </w:r>
    </w:p>
    <w:p w:rsidR="00AB7884" w:rsidRDefault="00AB7884">
      <w:pPr>
        <w:tabs>
          <w:tab w:val="num" w:pos="720"/>
        </w:tabs>
        <w:spacing w:before="240" w:after="120"/>
        <w:rPr>
          <w:rFonts w:ascii="Trebuchet MS" w:hAnsi="Trebuchet MS" w:cs="Trebuchet MS"/>
          <w:b/>
          <w:bCs/>
          <w:sz w:val="22"/>
          <w:szCs w:val="22"/>
          <w:lang w:eastAsia="en-ZA"/>
        </w:rPr>
      </w:pPr>
      <w:r>
        <w:rPr>
          <w:rFonts w:ascii="Trebuchet MS" w:hAnsi="Trebuchet MS" w:cs="Trebuchet MS"/>
          <w:b/>
          <w:bCs/>
          <w:sz w:val="22"/>
          <w:szCs w:val="22"/>
          <w:lang w:eastAsia="en-ZA"/>
        </w:rPr>
        <w:t>Figure 2.2.6 Anthropometric patterns of black South African adults, aged 15 to 65+ years (age standardised against the world population)</w:t>
      </w:r>
    </w:p>
    <w:p w:rsidR="00AB7884" w:rsidRDefault="00717A10">
      <w:pPr>
        <w:tabs>
          <w:tab w:val="num" w:pos="720"/>
        </w:tabs>
        <w:spacing w:after="200"/>
        <w:rPr>
          <w:b/>
          <w:bCs/>
          <w:noProof/>
          <w:sz w:val="22"/>
          <w:szCs w:val="22"/>
          <w:lang w:val="nb-NO" w:eastAsia="nb-NO"/>
        </w:rPr>
      </w:pPr>
      <w:r w:rsidRPr="00717A10">
        <w:rPr>
          <w:noProof/>
          <w:lang w:val="en-US"/>
        </w:rPr>
        <w:pict>
          <v:shape id="Chart 12" o:spid="_x0000_s1027" type="#_x0000_t75" style="position:absolute;margin-left:-.3pt;margin-top:.55pt;width:245.25pt;height:193.5pt;z-index:1;visibility:visible">
            <v:imagedata r:id="rId35" o:title="" cropbottom="10199f"/>
            <o:lock v:ext="edit" aspectratio="f"/>
            <w10:wrap type="square"/>
            <w10:anchorlock/>
          </v:shape>
        </w:pict>
      </w:r>
    </w:p>
    <w:p w:rsidR="00AB7884" w:rsidRDefault="00AB7884">
      <w:pPr>
        <w:tabs>
          <w:tab w:val="num" w:pos="720"/>
        </w:tabs>
        <w:spacing w:before="120" w:after="120"/>
        <w:rPr>
          <w:b/>
          <w:bCs/>
          <w:i/>
          <w:iCs/>
          <w:noProof/>
          <w:lang w:val="en-US" w:eastAsia="nb-NO"/>
        </w:rPr>
      </w:pPr>
    </w:p>
    <w:p w:rsidR="00AB7884" w:rsidRDefault="00AB7884">
      <w:pPr>
        <w:tabs>
          <w:tab w:val="num" w:pos="720"/>
        </w:tabs>
        <w:spacing w:before="120" w:after="120"/>
        <w:rPr>
          <w:b/>
          <w:bCs/>
          <w:i/>
          <w:iCs/>
          <w:noProof/>
          <w:lang w:val="en-US" w:eastAsia="nb-NO"/>
        </w:rPr>
      </w:pPr>
    </w:p>
    <w:p w:rsidR="00AB7884" w:rsidRDefault="00AB7884">
      <w:pPr>
        <w:tabs>
          <w:tab w:val="num" w:pos="720"/>
        </w:tabs>
        <w:spacing w:before="120" w:after="120"/>
        <w:rPr>
          <w:b/>
          <w:bCs/>
          <w:i/>
          <w:iCs/>
          <w:noProof/>
          <w:lang w:val="en-US" w:eastAsia="nb-NO"/>
        </w:rPr>
      </w:pPr>
    </w:p>
    <w:p w:rsidR="00AB7884" w:rsidRDefault="00AB7884">
      <w:pPr>
        <w:tabs>
          <w:tab w:val="num" w:pos="720"/>
        </w:tabs>
        <w:spacing w:before="120" w:after="120"/>
        <w:rPr>
          <w:b/>
          <w:bCs/>
          <w:i/>
          <w:iCs/>
          <w:noProof/>
          <w:lang w:val="en-US" w:eastAsia="nb-NO"/>
        </w:rPr>
      </w:pPr>
    </w:p>
    <w:p w:rsidR="00AB7884" w:rsidRDefault="00AB7884">
      <w:pPr>
        <w:tabs>
          <w:tab w:val="num" w:pos="720"/>
        </w:tabs>
        <w:spacing w:before="120" w:after="120"/>
        <w:rPr>
          <w:b/>
          <w:bCs/>
          <w:i/>
          <w:iCs/>
          <w:noProof/>
          <w:lang w:val="en-US" w:eastAsia="nb-NO"/>
        </w:rPr>
      </w:pPr>
    </w:p>
    <w:p w:rsidR="00AB7884" w:rsidRDefault="00AB7884">
      <w:pPr>
        <w:tabs>
          <w:tab w:val="num" w:pos="720"/>
        </w:tabs>
        <w:spacing w:before="120" w:after="120"/>
        <w:rPr>
          <w:lang w:val="en-US"/>
        </w:rPr>
      </w:pPr>
      <w:r>
        <w:rPr>
          <w:b/>
          <w:bCs/>
          <w:i/>
          <w:iCs/>
          <w:noProof/>
          <w:lang w:val="en-US" w:eastAsia="nb-NO"/>
        </w:rPr>
        <w:t>Source</w:t>
      </w:r>
      <w:r>
        <w:rPr>
          <w:noProof/>
          <w:lang w:val="en-US" w:eastAsia="nb-NO"/>
        </w:rPr>
        <w:t xml:space="preserve">: Puoane, T., Steyn, K., Bradshaw, D., Lambert, E.V., Fourie, J. &amp; Laubscher, J.A. (1998). Anthropometry and obesity in South Africa – the National Demographic and Health Survey. International Journal of Obesity. </w:t>
      </w:r>
    </w:p>
    <w:p w:rsidR="00AB7884" w:rsidRDefault="00AB7884">
      <w:pPr>
        <w:tabs>
          <w:tab w:val="num" w:pos="720"/>
        </w:tabs>
        <w:spacing w:before="240" w:after="120"/>
        <w:rPr>
          <w:sz w:val="22"/>
          <w:szCs w:val="22"/>
        </w:rPr>
      </w:pPr>
      <w:r>
        <w:rPr>
          <w:color w:val="000000"/>
          <w:sz w:val="22"/>
          <w:szCs w:val="22"/>
          <w:lang w:val="en-ZA"/>
        </w:rPr>
        <w:t xml:space="preserve">South Africa is considered to be the world’s third fattest country, after the US and the UK. Sixty one per cent (61%) of the </w:t>
      </w:r>
      <w:r>
        <w:rPr>
          <w:color w:val="000000"/>
          <w:sz w:val="22"/>
          <w:szCs w:val="22"/>
          <w:lang w:val="en-US"/>
        </w:rPr>
        <w:t xml:space="preserve">adult population is overweight, obese or morbidly obese; and 17% of children under the age of nine are overweight. </w:t>
      </w:r>
      <w:r>
        <w:rPr>
          <w:color w:val="000000"/>
          <w:sz w:val="22"/>
          <w:szCs w:val="22"/>
          <w:lang w:val="en-ZA"/>
        </w:rPr>
        <w:t xml:space="preserve">Obesity and overweight are also prevalent in adolescents and young children. The </w:t>
      </w:r>
      <w:r>
        <w:rPr>
          <w:sz w:val="22"/>
          <w:szCs w:val="22"/>
        </w:rPr>
        <w:t xml:space="preserve">NFCS of 1999 found that 17,1% of children nationally were overweight, with the highest prevalence being among children of urban households whose mothers had tertiary education; and 5% of children nationally were obese. </w:t>
      </w:r>
    </w:p>
    <w:p w:rsidR="00AB7884" w:rsidRDefault="00AB7884">
      <w:pPr>
        <w:tabs>
          <w:tab w:val="num" w:pos="720"/>
        </w:tabs>
        <w:rPr>
          <w:sz w:val="22"/>
          <w:szCs w:val="22"/>
        </w:rPr>
      </w:pPr>
      <w:r>
        <w:rPr>
          <w:sz w:val="22"/>
          <w:szCs w:val="22"/>
        </w:rPr>
        <w:t xml:space="preserve">A more recent </w:t>
      </w:r>
      <w:r>
        <w:rPr>
          <w:color w:val="000000"/>
          <w:sz w:val="22"/>
          <w:szCs w:val="22"/>
          <w:lang w:val="en-ZA"/>
        </w:rPr>
        <w:t xml:space="preserve">GlaxoSmithKline (GSK) (2010) national health survey shows that 61% of the adult population is overweight, obese or morbidly obese; and 17% of children under the age of nine years are overweight. </w:t>
      </w:r>
      <w:r>
        <w:rPr>
          <w:sz w:val="22"/>
          <w:szCs w:val="22"/>
        </w:rPr>
        <w:t>Children who are overweight or obese have a higher probability of obesity in adulthood.</w:t>
      </w:r>
    </w:p>
    <w:p w:rsidR="00AB7884" w:rsidRDefault="00AB7884">
      <w:pPr>
        <w:pStyle w:val="Heading2"/>
        <w:spacing w:before="0"/>
        <w:rPr>
          <w:rFonts w:ascii="Trebuchet MS" w:hAnsi="Trebuchet MS" w:cs="Trebuchet MS"/>
          <w:sz w:val="22"/>
          <w:szCs w:val="22"/>
        </w:rPr>
      </w:pPr>
      <w:bookmarkStart w:id="2" w:name="OLE_LINK1"/>
      <w:bookmarkStart w:id="3" w:name="OLE_LINK2"/>
    </w:p>
    <w:p w:rsidR="00AB7884" w:rsidRDefault="00AB7884">
      <w:pPr>
        <w:pStyle w:val="CommentText"/>
      </w:pPr>
    </w:p>
    <w:p w:rsidR="00AB7884" w:rsidRDefault="00AB7884">
      <w:pPr>
        <w:pStyle w:val="Heading2"/>
        <w:spacing w:before="0"/>
        <w:rPr>
          <w:rFonts w:ascii="Trebuchet MS" w:hAnsi="Trebuchet MS" w:cs="Trebuchet MS"/>
          <w:color w:val="FF0000"/>
          <w:sz w:val="24"/>
          <w:szCs w:val="24"/>
        </w:rPr>
      </w:pPr>
      <w:r>
        <w:rPr>
          <w:rFonts w:ascii="Trebuchet MS" w:hAnsi="Trebuchet MS" w:cs="Trebuchet MS"/>
          <w:sz w:val="28"/>
          <w:szCs w:val="28"/>
        </w:rPr>
        <w:t>7</w:t>
      </w:r>
      <w:r>
        <w:rPr>
          <w:rFonts w:ascii="Trebuchet MS" w:hAnsi="Trebuchet MS" w:cs="Trebuchet MS"/>
          <w:sz w:val="28"/>
          <w:szCs w:val="28"/>
        </w:rPr>
        <w:tab/>
        <w:t>THE CHAIN OF CAUSALITY</w:t>
      </w:r>
    </w:p>
    <w:p w:rsidR="00AB7884" w:rsidRDefault="00717A10">
      <w:pPr>
        <w:rPr>
          <w:rFonts w:ascii="Trebuchet MS" w:hAnsi="Trebuchet MS" w:cs="Trebuchet MS"/>
          <w:b/>
          <w:bCs/>
          <w:sz w:val="18"/>
          <w:szCs w:val="18"/>
        </w:rPr>
      </w:pPr>
      <w:r w:rsidRPr="00717A10">
        <w:rPr>
          <w:color w:val="FF0000"/>
          <w:sz w:val="24"/>
          <w:szCs w:val="24"/>
        </w:rPr>
        <w:pict>
          <v:rect id="_x0000_i1056" style="width:425.2pt;height:2pt" o:hralign="center" o:hrstd="t" o:hrnoshade="t" o:hr="t" fillcolor="black" stroked="f"/>
        </w:pict>
      </w:r>
    </w:p>
    <w:bookmarkEnd w:id="2"/>
    <w:bookmarkEnd w:id="3"/>
    <w:p w:rsidR="00AB7884" w:rsidRDefault="00AB7884">
      <w:pPr>
        <w:tabs>
          <w:tab w:val="num" w:pos="720"/>
        </w:tabs>
        <w:spacing w:before="120" w:after="120"/>
        <w:rPr>
          <w:sz w:val="22"/>
          <w:szCs w:val="22"/>
        </w:rPr>
      </w:pPr>
      <w:r>
        <w:rPr>
          <w:sz w:val="22"/>
          <w:szCs w:val="22"/>
        </w:rPr>
        <w:t>In order to tackle severe malnutrition we need to understand the underlying causes. According to UNICEF (1989):</w:t>
      </w:r>
    </w:p>
    <w:p w:rsidR="00AB7884" w:rsidRDefault="00AB7884">
      <w:pPr>
        <w:tabs>
          <w:tab w:val="num" w:pos="720"/>
        </w:tabs>
        <w:spacing w:before="240" w:after="200"/>
        <w:ind w:left="720"/>
        <w:rPr>
          <w:rFonts w:ascii="Trebuchet MS" w:hAnsi="Trebuchet MS" w:cs="Trebuchet MS"/>
          <w:sz w:val="22"/>
          <w:szCs w:val="22"/>
        </w:rPr>
      </w:pPr>
      <w:r>
        <w:rPr>
          <w:rFonts w:ascii="Trebuchet MS" w:hAnsi="Trebuchet MS" w:cs="Trebuchet MS"/>
          <w:i/>
          <w:iCs/>
          <w:sz w:val="22"/>
          <w:szCs w:val="22"/>
        </w:rPr>
        <w:t xml:space="preserve">“Malnutrition, clearly, is not a simple problem with a single, simple solution. Multiple and interrelated determinants are involved in why malnutrition develops, and a similarly intricate series of approaches, multifaceted and </w:t>
      </w:r>
      <w:r>
        <w:rPr>
          <w:rFonts w:ascii="Trebuchet MS" w:hAnsi="Trebuchet MS" w:cs="Trebuchet MS"/>
          <w:i/>
          <w:iCs/>
          <w:sz w:val="22"/>
          <w:szCs w:val="22"/>
        </w:rPr>
        <w:lastRenderedPageBreak/>
        <w:t>multisectoral, are needed to deal with it</w:t>
      </w:r>
      <w:r>
        <w:rPr>
          <w:rFonts w:ascii="Trebuchet MS" w:hAnsi="Trebuchet MS" w:cs="Trebuchet MS"/>
          <w:sz w:val="22"/>
          <w:szCs w:val="22"/>
        </w:rPr>
        <w:t xml:space="preserve">” (UNICEF/WHO Joint Committee, 1989). </w:t>
      </w:r>
    </w:p>
    <w:p w:rsidR="00AB7884" w:rsidRDefault="00AB7884">
      <w:pPr>
        <w:tabs>
          <w:tab w:val="num" w:pos="720"/>
        </w:tabs>
        <w:spacing w:before="240" w:after="200"/>
        <w:rPr>
          <w:sz w:val="22"/>
          <w:szCs w:val="22"/>
        </w:rPr>
      </w:pPr>
      <w:r>
        <w:rPr>
          <w:sz w:val="22"/>
          <w:szCs w:val="22"/>
        </w:rPr>
        <w:t>The conceptual framework of causality (see Figure 2.2.7) was developed by UNICEF to unpack the multiple, complex and interrelated causes of undernutrition. It is very similar to the other conceptual frameworks of causality we have used in this Module so far, but is laid out in a different way. It can be used to analyse and unpack the causes of both under- and over-nutrition; and the double burden of malnutrition.</w:t>
      </w:r>
    </w:p>
    <w:p w:rsidR="00AB7884" w:rsidRDefault="00AB7884">
      <w:pPr>
        <w:tabs>
          <w:tab w:val="num" w:pos="720"/>
        </w:tabs>
        <w:spacing w:before="240" w:after="200"/>
        <w:rPr>
          <w:sz w:val="22"/>
          <w:szCs w:val="22"/>
        </w:rPr>
      </w:pPr>
      <w:r>
        <w:rPr>
          <w:sz w:val="22"/>
          <w:szCs w:val="22"/>
        </w:rPr>
        <w:t>If we take under-nutrition as an example:</w:t>
      </w:r>
    </w:p>
    <w:p w:rsidR="00AB7884" w:rsidRDefault="00AB7884" w:rsidP="007F44B4">
      <w:pPr>
        <w:pStyle w:val="ListParagraph"/>
        <w:numPr>
          <w:ilvl w:val="0"/>
          <w:numId w:val="23"/>
        </w:numPr>
        <w:spacing w:before="240"/>
      </w:pPr>
      <w:r>
        <w:rPr>
          <w:sz w:val="22"/>
          <w:szCs w:val="22"/>
        </w:rPr>
        <w:t xml:space="preserve">The </w:t>
      </w:r>
      <w:r>
        <w:rPr>
          <w:b/>
          <w:bCs/>
          <w:sz w:val="22"/>
          <w:szCs w:val="22"/>
        </w:rPr>
        <w:t>immediate causes</w:t>
      </w:r>
      <w:r>
        <w:rPr>
          <w:sz w:val="22"/>
          <w:szCs w:val="22"/>
        </w:rPr>
        <w:t xml:space="preserve"> of under-nutrition are an inadequate dietary intake, which weakens and compromises the child’s immune system; making the child more susceptible to diseases and infections; which in turn worsen the malnutrition. This becomes a deadly cycle of malnutrition and disease. (The immediate causes are what we have called biological or physical causes or risk factors.)</w:t>
      </w:r>
    </w:p>
    <w:p w:rsidR="00AB7884" w:rsidRDefault="00AB7884" w:rsidP="007F44B4">
      <w:pPr>
        <w:pStyle w:val="ListParagraph"/>
        <w:numPr>
          <w:ilvl w:val="0"/>
          <w:numId w:val="23"/>
        </w:numPr>
        <w:spacing w:before="240"/>
      </w:pPr>
      <w:r>
        <w:rPr>
          <w:sz w:val="22"/>
          <w:szCs w:val="22"/>
        </w:rPr>
        <w:t xml:space="preserve">The </w:t>
      </w:r>
      <w:r>
        <w:rPr>
          <w:b/>
          <w:bCs/>
          <w:sz w:val="22"/>
          <w:szCs w:val="22"/>
        </w:rPr>
        <w:t>underlying causes</w:t>
      </w:r>
      <w:r>
        <w:rPr>
          <w:sz w:val="22"/>
          <w:szCs w:val="22"/>
        </w:rPr>
        <w:t xml:space="preserve"> of this malnutrition-infection-malnutrition cycle are that the households that these children come from do not have adequate access to good quality food; to good quality maternal and child care; to healthy living conditions (such as water and sanitation); and to adequate health care services. (The underlying or intermediate causes are what we have called behavioural and societal causes or risk factors.)</w:t>
      </w:r>
    </w:p>
    <w:p w:rsidR="00AB7884" w:rsidRDefault="00AB7884" w:rsidP="007F44B4">
      <w:pPr>
        <w:pStyle w:val="ListParagraph"/>
        <w:numPr>
          <w:ilvl w:val="0"/>
          <w:numId w:val="16"/>
        </w:numPr>
        <w:autoSpaceDE w:val="0"/>
        <w:autoSpaceDN w:val="0"/>
        <w:adjustRightInd w:val="0"/>
        <w:spacing w:after="200"/>
        <w:rPr>
          <w:color w:val="000000"/>
          <w:sz w:val="22"/>
          <w:szCs w:val="22"/>
          <w:lang w:val="en-US"/>
        </w:rPr>
      </w:pPr>
      <w:r>
        <w:rPr>
          <w:sz w:val="22"/>
          <w:szCs w:val="22"/>
        </w:rPr>
        <w:t xml:space="preserve">The </w:t>
      </w:r>
      <w:r>
        <w:rPr>
          <w:b/>
          <w:bCs/>
          <w:sz w:val="22"/>
          <w:szCs w:val="22"/>
        </w:rPr>
        <w:t>basic (or root) causes</w:t>
      </w:r>
      <w:r>
        <w:rPr>
          <w:i/>
          <w:iCs/>
          <w:sz w:val="22"/>
          <w:szCs w:val="22"/>
        </w:rPr>
        <w:t xml:space="preserve"> </w:t>
      </w:r>
      <w:r>
        <w:rPr>
          <w:sz w:val="22"/>
          <w:szCs w:val="22"/>
        </w:rPr>
        <w:t xml:space="preserve">are poverty, lack of resources (e.g. money), and lack of power/control over decisions that are taken at a social, economic or political level. (The basic causes are what we have called the structural determinants). </w:t>
      </w:r>
      <w:r>
        <w:rPr>
          <w:sz w:val="22"/>
          <w:szCs w:val="22"/>
        </w:rPr>
        <w:br/>
      </w:r>
      <w:r>
        <w:rPr>
          <w:sz w:val="22"/>
          <w:szCs w:val="22"/>
        </w:rPr>
        <w:br/>
        <w:t xml:space="preserve">Basic causes include the macroeconomic policies in a country, such as </w:t>
      </w:r>
      <w:r>
        <w:rPr>
          <w:color w:val="000000"/>
          <w:sz w:val="22"/>
          <w:szCs w:val="22"/>
          <w:lang w:val="en-ZA"/>
        </w:rPr>
        <w:t xml:space="preserve">trade liberalisation; as well as the globalisation of the food supply chain which influences food availability, accessibility, price and food choices; and </w:t>
      </w:r>
      <w:r>
        <w:rPr>
          <w:color w:val="000000"/>
          <w:sz w:val="22"/>
          <w:szCs w:val="22"/>
          <w:lang w:val="en-US"/>
        </w:rPr>
        <w:t xml:space="preserve">climate change which negatively affects crops. </w:t>
      </w:r>
    </w:p>
    <w:p w:rsidR="00AB7884" w:rsidRDefault="00AB7884">
      <w:pPr>
        <w:pStyle w:val="ListParagraph"/>
        <w:autoSpaceDE w:val="0"/>
        <w:autoSpaceDN w:val="0"/>
        <w:adjustRightInd w:val="0"/>
        <w:spacing w:after="200"/>
        <w:ind w:left="0"/>
        <w:rPr>
          <w:sz w:val="22"/>
          <w:szCs w:val="22"/>
        </w:rPr>
      </w:pPr>
      <w:r>
        <w:rPr>
          <w:sz w:val="22"/>
          <w:szCs w:val="22"/>
        </w:rPr>
        <w:t>This can be represented diagrammatically as follows:</w:t>
      </w:r>
    </w:p>
    <w:p w:rsidR="00AB7884" w:rsidRDefault="00AB7884">
      <w:pPr>
        <w:pStyle w:val="ListParagraph"/>
        <w:autoSpaceDE w:val="0"/>
        <w:autoSpaceDN w:val="0"/>
        <w:adjustRightInd w:val="0"/>
        <w:spacing w:before="240" w:after="120"/>
        <w:ind w:left="0"/>
        <w:rPr>
          <w:rFonts w:ascii="Trebuchet MS" w:hAnsi="Trebuchet MS" w:cs="Trebuchet MS"/>
          <w:b/>
          <w:bCs/>
          <w:sz w:val="22"/>
          <w:szCs w:val="22"/>
        </w:rPr>
      </w:pPr>
      <w:r>
        <w:rPr>
          <w:rFonts w:ascii="Trebuchet MS" w:hAnsi="Trebuchet MS" w:cs="Trebuchet MS"/>
          <w:b/>
          <w:bCs/>
          <w:sz w:val="22"/>
          <w:szCs w:val="22"/>
        </w:rPr>
        <w:br w:type="page"/>
      </w:r>
      <w:r>
        <w:rPr>
          <w:rFonts w:ascii="Trebuchet MS" w:hAnsi="Trebuchet MS" w:cs="Trebuchet MS"/>
          <w:b/>
          <w:bCs/>
          <w:sz w:val="22"/>
          <w:szCs w:val="22"/>
        </w:rPr>
        <w:lastRenderedPageBreak/>
        <w:t>Figure 2.2.6 UNICEF conceptual framework of causality of child nutrition</w:t>
      </w:r>
    </w:p>
    <w:p w:rsidR="00AB7884" w:rsidRDefault="00717A10">
      <w:pPr>
        <w:tabs>
          <w:tab w:val="num" w:pos="720"/>
        </w:tabs>
        <w:spacing w:after="200"/>
        <w:rPr>
          <w:sz w:val="22"/>
          <w:szCs w:val="22"/>
        </w:rPr>
      </w:pPr>
      <w:r w:rsidRPr="00717A10">
        <w:rPr>
          <w:sz w:val="22"/>
          <w:szCs w:val="22"/>
        </w:rPr>
        <w:pict>
          <v:shape id="_x0000_i1057" type="#_x0000_t75" style="width:382.5pt;height:387.75pt">
            <v:imagedata r:id="rId36" o:title="" croptop="2634f"/>
          </v:shape>
        </w:pict>
      </w:r>
    </w:p>
    <w:p w:rsidR="00AB7884" w:rsidRDefault="00AB7884">
      <w:pPr>
        <w:tabs>
          <w:tab w:val="num" w:pos="720"/>
        </w:tabs>
        <w:spacing w:before="120" w:after="120"/>
      </w:pPr>
      <w:r>
        <w:rPr>
          <w:b/>
          <w:bCs/>
          <w:i/>
          <w:iCs/>
        </w:rPr>
        <w:t>Source</w:t>
      </w:r>
      <w:r>
        <w:t xml:space="preserve">: </w:t>
      </w:r>
      <w:r>
        <w:rPr>
          <w:lang w:val="en-ZA"/>
        </w:rPr>
        <w:t xml:space="preserve">Save the children. (2012) A life free from hunger; Tackling child malnutrition. </w:t>
      </w:r>
      <w:r>
        <w:rPr>
          <w:i/>
          <w:iCs/>
          <w:lang w:val="en-ZA"/>
        </w:rPr>
        <w:t>Save The Children UK.</w:t>
      </w:r>
      <w:r>
        <w:br/>
      </w:r>
    </w:p>
    <w:p w:rsidR="00AB7884" w:rsidRDefault="00AB7884">
      <w:pPr>
        <w:pBdr>
          <w:top w:val="single" w:sz="4" w:space="1" w:color="auto"/>
          <w:left w:val="single" w:sz="4" w:space="4" w:color="auto"/>
          <w:bottom w:val="single" w:sz="4" w:space="1" w:color="auto"/>
          <w:right w:val="single" w:sz="4" w:space="0" w:color="auto"/>
        </w:pBdr>
        <w:autoSpaceDE w:val="0"/>
        <w:autoSpaceDN w:val="0"/>
        <w:adjustRightInd w:val="0"/>
        <w:rPr>
          <w:rFonts w:ascii="Trebuchet MS" w:hAnsi="Trebuchet MS" w:cs="Trebuchet MS"/>
          <w:b/>
          <w:bCs/>
          <w:color w:val="000000"/>
          <w:sz w:val="22"/>
          <w:szCs w:val="22"/>
          <w:lang w:val="en-US"/>
        </w:rPr>
      </w:pPr>
      <w:r>
        <w:rPr>
          <w:rFonts w:ascii="Trebuchet MS" w:hAnsi="Trebuchet MS" w:cs="Trebuchet MS"/>
          <w:b/>
          <w:bCs/>
          <w:color w:val="000000"/>
          <w:sz w:val="22"/>
          <w:szCs w:val="22"/>
          <w:lang w:val="en-US"/>
        </w:rPr>
        <w:t xml:space="preserve">TASK 2 </w:t>
      </w:r>
      <w:r>
        <w:rPr>
          <w:rFonts w:ascii="Calibri" w:hAnsi="Calibri" w:cs="Calibri"/>
          <w:b/>
          <w:bCs/>
          <w:color w:val="000000"/>
          <w:sz w:val="22"/>
          <w:szCs w:val="22"/>
          <w:lang w:val="en-US"/>
        </w:rPr>
        <w:t xml:space="preserve">- </w:t>
      </w:r>
      <w:r>
        <w:rPr>
          <w:rFonts w:ascii="Trebuchet MS" w:hAnsi="Trebuchet MS" w:cs="Trebuchet MS"/>
          <w:b/>
          <w:bCs/>
          <w:color w:val="000000"/>
          <w:sz w:val="22"/>
          <w:szCs w:val="22"/>
          <w:lang w:val="en-US"/>
        </w:rPr>
        <w:t xml:space="preserve">Identify the multiple causes of the increasing prevalence of obesity in South Africa </w:t>
      </w:r>
    </w:p>
    <w:p w:rsidR="00AB7884" w:rsidRDefault="00AB7884">
      <w:pPr>
        <w:pBdr>
          <w:top w:val="single" w:sz="4" w:space="1" w:color="auto"/>
          <w:left w:val="single" w:sz="4" w:space="4" w:color="auto"/>
          <w:bottom w:val="single" w:sz="4" w:space="1" w:color="auto"/>
          <w:right w:val="single" w:sz="4" w:space="0" w:color="auto"/>
        </w:pBdr>
        <w:autoSpaceDE w:val="0"/>
        <w:autoSpaceDN w:val="0"/>
        <w:adjustRightInd w:val="0"/>
        <w:rPr>
          <w:rFonts w:ascii="Trebuchet MS" w:hAnsi="Trebuchet MS" w:cs="Trebuchet MS"/>
          <w:color w:val="000000"/>
          <w:sz w:val="22"/>
          <w:szCs w:val="22"/>
          <w:lang w:val="en-US"/>
        </w:rPr>
      </w:pPr>
    </w:p>
    <w:p w:rsidR="00AB7884" w:rsidRDefault="00AB7884">
      <w:pPr>
        <w:pBdr>
          <w:top w:val="single" w:sz="4" w:space="1" w:color="auto"/>
          <w:left w:val="single" w:sz="4" w:space="4" w:color="auto"/>
          <w:bottom w:val="single" w:sz="4" w:space="1" w:color="auto"/>
          <w:right w:val="single" w:sz="4" w:space="0" w:color="auto"/>
        </w:pBdr>
        <w:autoSpaceDE w:val="0"/>
        <w:autoSpaceDN w:val="0"/>
        <w:adjustRightInd w:val="0"/>
        <w:rPr>
          <w:rFonts w:ascii="Trebuchet MS" w:hAnsi="Trebuchet MS" w:cs="Trebuchet MS"/>
          <w:color w:val="000000"/>
          <w:sz w:val="22"/>
          <w:szCs w:val="22"/>
          <w:lang w:val="en-US"/>
        </w:rPr>
      </w:pPr>
      <w:r>
        <w:rPr>
          <w:rFonts w:ascii="Trebuchet MS" w:hAnsi="Trebuchet MS" w:cs="Trebuchet MS"/>
          <w:color w:val="000000"/>
          <w:sz w:val="22"/>
          <w:szCs w:val="22"/>
          <w:lang w:val="en-US"/>
        </w:rPr>
        <w:t xml:space="preserve">Use one of the conceptual frameworks of causality to list the multiple causes of the increasing prevalence of </w:t>
      </w:r>
      <w:r>
        <w:rPr>
          <w:rFonts w:ascii="Trebuchet MS" w:hAnsi="Trebuchet MS" w:cs="Trebuchet MS"/>
          <w:b/>
          <w:bCs/>
          <w:color w:val="000000"/>
          <w:sz w:val="22"/>
          <w:szCs w:val="22"/>
          <w:lang w:val="en-US"/>
        </w:rPr>
        <w:t>obesity</w:t>
      </w:r>
      <w:r>
        <w:rPr>
          <w:rFonts w:ascii="Trebuchet MS" w:hAnsi="Trebuchet MS" w:cs="Trebuchet MS"/>
          <w:color w:val="000000"/>
          <w:sz w:val="22"/>
          <w:szCs w:val="22"/>
          <w:lang w:val="en-US"/>
        </w:rPr>
        <w:t xml:space="preserve"> in South Africa, especially within the black population group. Try to use the UNICEF framework (above) or a table like the one you used previously in Unit 1. </w:t>
      </w:r>
      <w:r>
        <w:rPr>
          <w:rFonts w:ascii="Trebuchet MS" w:hAnsi="Trebuchet MS" w:cs="Trebuchet MS"/>
          <w:color w:val="000000"/>
          <w:sz w:val="22"/>
          <w:szCs w:val="22"/>
          <w:lang w:val="en-US"/>
        </w:rPr>
        <w:br/>
      </w:r>
    </w:p>
    <w:p w:rsidR="00AB7884" w:rsidRDefault="00AB7884">
      <w:pPr>
        <w:spacing w:before="120" w:after="120" w:line="276" w:lineRule="auto"/>
        <w:rPr>
          <w:rFonts w:ascii="Trebuchet MS" w:hAnsi="Trebuchet MS" w:cs="Trebuchet MS"/>
          <w:color w:val="000000"/>
          <w:sz w:val="22"/>
          <w:szCs w:val="22"/>
          <w:lang w:val="en-US"/>
        </w:rPr>
      </w:pPr>
      <w:r>
        <w:rPr>
          <w:rFonts w:ascii="Trebuchet MS" w:hAnsi="Trebuchet MS" w:cs="Trebuchet MS"/>
          <w:b/>
          <w:bCs/>
          <w:color w:val="000000"/>
          <w:sz w:val="22"/>
          <w:szCs w:val="22"/>
          <w:lang w:val="en-US"/>
        </w:rPr>
        <w:br w:type="page"/>
      </w:r>
      <w:r>
        <w:rPr>
          <w:rFonts w:ascii="Trebuchet MS" w:hAnsi="Trebuchet MS" w:cs="Trebuchet MS"/>
          <w:b/>
          <w:bCs/>
          <w:color w:val="000000"/>
          <w:sz w:val="22"/>
          <w:szCs w:val="22"/>
          <w:lang w:val="en-US"/>
        </w:rPr>
        <w:lastRenderedPageBreak/>
        <w:t>FEEDBACK</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35"/>
        <w:gridCol w:w="2119"/>
        <w:gridCol w:w="2078"/>
        <w:gridCol w:w="2387"/>
      </w:tblGrid>
      <w:tr w:rsidR="00AB7884" w:rsidRPr="0034040D">
        <w:trPr>
          <w:trHeight w:val="419"/>
        </w:trPr>
        <w:tc>
          <w:tcPr>
            <w:tcW w:w="0" w:type="auto"/>
          </w:tcPr>
          <w:p w:rsidR="00AB7884" w:rsidRPr="0034040D" w:rsidRDefault="00AB7884">
            <w:pPr>
              <w:spacing w:before="120" w:after="120"/>
              <w:rPr>
                <w:rFonts w:eastAsiaTheme="minorEastAsia"/>
                <w:b/>
                <w:bCs/>
              </w:rPr>
            </w:pPr>
            <w:r w:rsidRPr="0034040D">
              <w:rPr>
                <w:rFonts w:eastAsiaTheme="minorEastAsia"/>
                <w:b/>
                <w:bCs/>
              </w:rPr>
              <w:t>Immediate (downstream or proximal) causes</w:t>
            </w:r>
          </w:p>
        </w:tc>
        <w:tc>
          <w:tcPr>
            <w:tcW w:w="0" w:type="auto"/>
          </w:tcPr>
          <w:p w:rsidR="00AB7884" w:rsidRPr="0034040D" w:rsidRDefault="00AB7884">
            <w:pPr>
              <w:spacing w:before="120" w:after="120"/>
              <w:rPr>
                <w:rFonts w:eastAsiaTheme="minorEastAsia"/>
                <w:b/>
                <w:bCs/>
              </w:rPr>
            </w:pPr>
            <w:r w:rsidRPr="0034040D">
              <w:rPr>
                <w:rFonts w:eastAsiaTheme="minorEastAsia"/>
                <w:b/>
                <w:bCs/>
              </w:rPr>
              <w:t>Underlying</w:t>
            </w:r>
            <w:r w:rsidRPr="0034040D">
              <w:rPr>
                <w:rFonts w:eastAsiaTheme="minorEastAsia"/>
                <w:b/>
                <w:bCs/>
              </w:rPr>
              <w:br/>
              <w:t>(midstream) causes</w:t>
            </w:r>
          </w:p>
        </w:tc>
        <w:tc>
          <w:tcPr>
            <w:tcW w:w="0" w:type="auto"/>
            <w:gridSpan w:val="2"/>
          </w:tcPr>
          <w:p w:rsidR="00AB7884" w:rsidRPr="0034040D" w:rsidRDefault="00AB7884">
            <w:pPr>
              <w:spacing w:before="120" w:after="120"/>
              <w:rPr>
                <w:rFonts w:eastAsiaTheme="minorEastAsia"/>
                <w:b/>
                <w:bCs/>
              </w:rPr>
            </w:pPr>
            <w:r w:rsidRPr="0034040D">
              <w:rPr>
                <w:rFonts w:eastAsiaTheme="minorEastAsia"/>
                <w:b/>
                <w:bCs/>
              </w:rPr>
              <w:t>Root (upstream or distal causes)</w:t>
            </w:r>
          </w:p>
        </w:tc>
      </w:tr>
      <w:tr w:rsidR="00AB7884" w:rsidRPr="0034040D">
        <w:trPr>
          <w:trHeight w:val="955"/>
        </w:trPr>
        <w:tc>
          <w:tcPr>
            <w:tcW w:w="0" w:type="auto"/>
          </w:tcPr>
          <w:p w:rsidR="00AB7884" w:rsidRPr="0034040D" w:rsidRDefault="00AB7884">
            <w:pPr>
              <w:spacing w:before="120" w:after="120"/>
              <w:rPr>
                <w:rFonts w:eastAsiaTheme="minorEastAsia"/>
                <w:b/>
                <w:bCs/>
              </w:rPr>
            </w:pPr>
            <w:r w:rsidRPr="0034040D">
              <w:rPr>
                <w:rFonts w:eastAsiaTheme="minorEastAsia"/>
                <w:b/>
                <w:bCs/>
              </w:rPr>
              <w:t xml:space="preserve">BIOLOGICAL/ PHYSICAL </w:t>
            </w:r>
          </w:p>
        </w:tc>
        <w:tc>
          <w:tcPr>
            <w:tcW w:w="0" w:type="auto"/>
          </w:tcPr>
          <w:p w:rsidR="00AB7884" w:rsidRPr="0034040D" w:rsidRDefault="00AB7884">
            <w:pPr>
              <w:spacing w:before="120" w:after="120"/>
              <w:rPr>
                <w:rFonts w:eastAsiaTheme="minorEastAsia"/>
                <w:b/>
                <w:bCs/>
              </w:rPr>
            </w:pPr>
            <w:r w:rsidRPr="0034040D">
              <w:rPr>
                <w:rFonts w:eastAsiaTheme="minorEastAsia"/>
                <w:b/>
                <w:bCs/>
              </w:rPr>
              <w:t>SOCIO-CULTURAL and BEHAVIOURAL</w:t>
            </w:r>
          </w:p>
        </w:tc>
        <w:tc>
          <w:tcPr>
            <w:tcW w:w="0" w:type="auto"/>
          </w:tcPr>
          <w:p w:rsidR="00AB7884" w:rsidRPr="0034040D" w:rsidRDefault="00AB7884">
            <w:pPr>
              <w:shd w:val="clear" w:color="auto" w:fill="FFFFFF"/>
              <w:spacing w:before="120" w:after="120" w:line="235" w:lineRule="exact"/>
              <w:rPr>
                <w:rFonts w:eastAsiaTheme="minorEastAsia"/>
                <w:b/>
                <w:bCs/>
              </w:rPr>
            </w:pPr>
            <w:r w:rsidRPr="0034040D">
              <w:rPr>
                <w:rFonts w:eastAsiaTheme="minorEastAsia"/>
                <w:b/>
                <w:bCs/>
              </w:rPr>
              <w:t xml:space="preserve">ECONOMIC </w:t>
            </w:r>
          </w:p>
        </w:tc>
        <w:tc>
          <w:tcPr>
            <w:tcW w:w="0" w:type="auto"/>
          </w:tcPr>
          <w:p w:rsidR="00AB7884" w:rsidRPr="0034040D" w:rsidRDefault="00AB7884">
            <w:pPr>
              <w:spacing w:before="120" w:after="120"/>
              <w:rPr>
                <w:rFonts w:eastAsiaTheme="minorEastAsia"/>
                <w:b/>
                <w:bCs/>
              </w:rPr>
            </w:pPr>
            <w:r w:rsidRPr="0034040D">
              <w:rPr>
                <w:rFonts w:eastAsiaTheme="minorEastAsia"/>
                <w:b/>
                <w:bCs/>
              </w:rPr>
              <w:t xml:space="preserve">POLITICAL </w:t>
            </w:r>
          </w:p>
        </w:tc>
      </w:tr>
      <w:tr w:rsidR="00AB7884" w:rsidRPr="00340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rsidR="00AB7884" w:rsidRPr="0034040D" w:rsidRDefault="00AB7884" w:rsidP="007F44B4">
            <w:pPr>
              <w:pStyle w:val="ListParagraph"/>
              <w:numPr>
                <w:ilvl w:val="0"/>
                <w:numId w:val="16"/>
              </w:numPr>
              <w:tabs>
                <w:tab w:val="left" w:pos="426"/>
              </w:tabs>
              <w:autoSpaceDE w:val="0"/>
              <w:autoSpaceDN w:val="0"/>
              <w:adjustRightInd w:val="0"/>
              <w:spacing w:before="120"/>
              <w:rPr>
                <w:rFonts w:eastAsiaTheme="minorEastAsia"/>
                <w:color w:val="000000"/>
                <w:lang w:val="en-US"/>
              </w:rPr>
            </w:pPr>
            <w:r w:rsidRPr="0034040D">
              <w:rPr>
                <w:rFonts w:eastAsiaTheme="minorEastAsia"/>
                <w:color w:val="000000"/>
                <w:lang w:val="en-US"/>
              </w:rPr>
              <w:t>Inadequate dietary intake.</w:t>
            </w:r>
          </w:p>
          <w:p w:rsidR="00AB7884" w:rsidRPr="0034040D" w:rsidRDefault="00AB7884" w:rsidP="007F44B4">
            <w:pPr>
              <w:pStyle w:val="ListParagraph"/>
              <w:numPr>
                <w:ilvl w:val="0"/>
                <w:numId w:val="16"/>
              </w:numPr>
              <w:tabs>
                <w:tab w:val="left" w:pos="426"/>
              </w:tabs>
              <w:autoSpaceDE w:val="0"/>
              <w:autoSpaceDN w:val="0"/>
              <w:adjustRightInd w:val="0"/>
              <w:spacing w:before="120" w:after="200"/>
              <w:ind w:left="357"/>
              <w:rPr>
                <w:rFonts w:eastAsiaTheme="minorEastAsia"/>
                <w:color w:val="000000"/>
                <w:lang w:val="en-US"/>
              </w:rPr>
            </w:pPr>
            <w:r w:rsidRPr="0034040D">
              <w:rPr>
                <w:rFonts w:eastAsiaTheme="minorEastAsia"/>
                <w:color w:val="000000"/>
                <w:lang w:val="en-US"/>
              </w:rPr>
              <w:t>Consumption of energy-dense, micronutrient poor foods, poor micronutrient and protein intake.</w:t>
            </w:r>
          </w:p>
          <w:p w:rsidR="00AB7884" w:rsidRPr="0034040D" w:rsidRDefault="00AB7884">
            <w:pPr>
              <w:pStyle w:val="ListParagraph"/>
              <w:tabs>
                <w:tab w:val="left" w:pos="540"/>
              </w:tabs>
              <w:autoSpaceDE w:val="0"/>
              <w:autoSpaceDN w:val="0"/>
              <w:adjustRightInd w:val="0"/>
              <w:spacing w:before="120" w:after="200"/>
              <w:ind w:left="357"/>
              <w:rPr>
                <w:rFonts w:eastAsiaTheme="minorEastAsia"/>
                <w:b/>
                <w:bCs/>
              </w:rPr>
            </w:pPr>
          </w:p>
        </w:tc>
        <w:tc>
          <w:tcPr>
            <w:tcW w:w="0" w:type="auto"/>
          </w:tcPr>
          <w:p w:rsidR="00AB7884" w:rsidRPr="0034040D" w:rsidRDefault="00AB7884" w:rsidP="007F44B4">
            <w:pPr>
              <w:pStyle w:val="ListParagraph"/>
              <w:numPr>
                <w:ilvl w:val="0"/>
                <w:numId w:val="16"/>
              </w:numPr>
              <w:autoSpaceDE w:val="0"/>
              <w:autoSpaceDN w:val="0"/>
              <w:adjustRightInd w:val="0"/>
              <w:spacing w:before="120"/>
              <w:ind w:left="357"/>
              <w:rPr>
                <w:rFonts w:eastAsiaTheme="minorEastAsia"/>
                <w:color w:val="000000"/>
                <w:lang w:val="en-US"/>
              </w:rPr>
            </w:pPr>
            <w:r w:rsidRPr="0034040D">
              <w:rPr>
                <w:rFonts w:eastAsiaTheme="minorEastAsia"/>
              </w:rPr>
              <w:t>Decreased</w:t>
            </w:r>
            <w:r w:rsidRPr="0034040D">
              <w:rPr>
                <w:rFonts w:eastAsiaTheme="minorEastAsia"/>
                <w:b/>
                <w:bCs/>
              </w:rPr>
              <w:t xml:space="preserve"> </w:t>
            </w:r>
            <w:r w:rsidRPr="0034040D">
              <w:rPr>
                <w:rFonts w:eastAsiaTheme="minorEastAsia"/>
                <w:color w:val="000000"/>
                <w:lang w:val="en-US"/>
              </w:rPr>
              <w:t>intakes of the staple, maize meal, in the urban middle and upper class strata as perceived as being ‘for the poor’.</w:t>
            </w:r>
          </w:p>
          <w:p w:rsidR="00AB7884" w:rsidRPr="0034040D" w:rsidRDefault="00AB7884" w:rsidP="007F44B4">
            <w:pPr>
              <w:pStyle w:val="ListParagraph"/>
              <w:numPr>
                <w:ilvl w:val="0"/>
                <w:numId w:val="16"/>
              </w:numPr>
              <w:tabs>
                <w:tab w:val="left" w:pos="284"/>
                <w:tab w:val="left" w:pos="540"/>
              </w:tabs>
              <w:autoSpaceDE w:val="0"/>
              <w:autoSpaceDN w:val="0"/>
              <w:adjustRightInd w:val="0"/>
              <w:spacing w:before="120"/>
              <w:ind w:left="357"/>
              <w:rPr>
                <w:rFonts w:eastAsiaTheme="minorEastAsia"/>
                <w:b/>
                <w:bCs/>
              </w:rPr>
            </w:pPr>
            <w:r w:rsidRPr="0034040D">
              <w:rPr>
                <w:rFonts w:eastAsiaTheme="minorEastAsia"/>
                <w:color w:val="000000"/>
                <w:lang w:val="en-US"/>
              </w:rPr>
              <w:t>Shifting nutritional patterns from traditional high carbohydrate low fat diet to a diet associated with NCDs.</w:t>
            </w:r>
          </w:p>
          <w:p w:rsidR="00AB7884" w:rsidRPr="0034040D" w:rsidRDefault="00AB7884" w:rsidP="007F44B4">
            <w:pPr>
              <w:pStyle w:val="ListParagraph"/>
              <w:numPr>
                <w:ilvl w:val="0"/>
                <w:numId w:val="16"/>
              </w:numPr>
              <w:tabs>
                <w:tab w:val="left" w:pos="332"/>
              </w:tabs>
              <w:autoSpaceDE w:val="0"/>
              <w:autoSpaceDN w:val="0"/>
              <w:adjustRightInd w:val="0"/>
              <w:spacing w:before="120" w:after="200"/>
              <w:rPr>
                <w:rFonts w:eastAsiaTheme="minorEastAsia"/>
                <w:b/>
                <w:bCs/>
              </w:rPr>
            </w:pPr>
            <w:r w:rsidRPr="0034040D">
              <w:rPr>
                <w:rFonts w:eastAsiaTheme="minorEastAsia"/>
                <w:color w:val="000000"/>
              </w:rPr>
              <w:t>Traditional and cultural perceptions that being overweight has many positive connotations.</w:t>
            </w:r>
          </w:p>
        </w:tc>
        <w:tc>
          <w:tcPr>
            <w:tcW w:w="0" w:type="auto"/>
          </w:tcPr>
          <w:p w:rsidR="00AB7884" w:rsidRPr="0034040D" w:rsidRDefault="00AB7884" w:rsidP="007F44B4">
            <w:pPr>
              <w:pStyle w:val="ListParagraph"/>
              <w:numPr>
                <w:ilvl w:val="0"/>
                <w:numId w:val="16"/>
              </w:numPr>
              <w:tabs>
                <w:tab w:val="left" w:pos="284"/>
              </w:tabs>
              <w:autoSpaceDE w:val="0"/>
              <w:autoSpaceDN w:val="0"/>
              <w:adjustRightInd w:val="0"/>
              <w:spacing w:before="120"/>
              <w:ind w:left="357"/>
              <w:rPr>
                <w:rFonts w:eastAsiaTheme="minorEastAsia"/>
                <w:b/>
                <w:bCs/>
                <w:color w:val="000000"/>
                <w:lang w:val="en-US"/>
              </w:rPr>
            </w:pPr>
            <w:r w:rsidRPr="0034040D">
              <w:rPr>
                <w:rFonts w:eastAsiaTheme="minorEastAsia"/>
                <w:color w:val="000000"/>
                <w:lang w:val="en-US"/>
              </w:rPr>
              <w:t>People living in poverty tend to spend a greater portion of their income on food than richer people, making them more vulnerable to increases in food price and less able to buy enough healthy food.</w:t>
            </w:r>
          </w:p>
          <w:p w:rsidR="00AB7884" w:rsidRPr="0034040D" w:rsidRDefault="00AB7884" w:rsidP="007F44B4">
            <w:pPr>
              <w:pStyle w:val="ListParagraph"/>
              <w:numPr>
                <w:ilvl w:val="0"/>
                <w:numId w:val="16"/>
              </w:numPr>
              <w:tabs>
                <w:tab w:val="left" w:pos="284"/>
              </w:tabs>
              <w:autoSpaceDE w:val="0"/>
              <w:autoSpaceDN w:val="0"/>
              <w:adjustRightInd w:val="0"/>
              <w:spacing w:before="120" w:after="240"/>
              <w:ind w:left="357"/>
              <w:rPr>
                <w:rFonts w:eastAsiaTheme="minorEastAsia"/>
                <w:b/>
                <w:bCs/>
                <w:color w:val="000000"/>
                <w:lang w:val="en-US"/>
              </w:rPr>
            </w:pPr>
            <w:r w:rsidRPr="0034040D">
              <w:rPr>
                <w:rFonts w:eastAsiaTheme="minorEastAsia"/>
                <w:color w:val="000000"/>
                <w:lang w:val="en-US"/>
              </w:rPr>
              <w:t>The poorest third of the rural population spend 81% of their income on food, compared to the wealthiest third, which spend 34% on food. The urban poor too spend as much as 80% of their income on food.</w:t>
            </w:r>
          </w:p>
        </w:tc>
        <w:tc>
          <w:tcPr>
            <w:tcW w:w="0" w:type="auto"/>
          </w:tcPr>
          <w:p w:rsidR="00AB7884" w:rsidRPr="0034040D" w:rsidRDefault="00AB7884" w:rsidP="007F44B4">
            <w:pPr>
              <w:pStyle w:val="ListParagraph"/>
              <w:numPr>
                <w:ilvl w:val="0"/>
                <w:numId w:val="16"/>
              </w:numPr>
              <w:spacing w:before="120"/>
              <w:ind w:left="357"/>
              <w:rPr>
                <w:rFonts w:eastAsiaTheme="minorEastAsia"/>
                <w:color w:val="000000"/>
                <w:lang w:val="en-ZA"/>
              </w:rPr>
            </w:pPr>
            <w:r w:rsidRPr="0034040D">
              <w:rPr>
                <w:rFonts w:eastAsiaTheme="minorEastAsia"/>
                <w:color w:val="000000"/>
                <w:lang w:val="en-ZA"/>
              </w:rPr>
              <w:t>Macroeconomic policies, such as trade liberalisation have negatively impacted on living standards and diets of the poor.</w:t>
            </w:r>
          </w:p>
          <w:p w:rsidR="00AB7884" w:rsidRPr="0034040D" w:rsidRDefault="00AB7884" w:rsidP="007F44B4">
            <w:pPr>
              <w:pStyle w:val="ListParagraph"/>
              <w:numPr>
                <w:ilvl w:val="0"/>
                <w:numId w:val="16"/>
              </w:numPr>
              <w:spacing w:before="120"/>
              <w:ind w:left="357"/>
              <w:rPr>
                <w:rFonts w:eastAsiaTheme="minorEastAsia"/>
                <w:color w:val="000000"/>
                <w:lang w:val="en-ZA"/>
              </w:rPr>
            </w:pPr>
            <w:r w:rsidRPr="0034040D">
              <w:rPr>
                <w:rFonts w:eastAsiaTheme="minorEastAsia"/>
                <w:color w:val="000000"/>
                <w:lang w:val="en-ZA"/>
              </w:rPr>
              <w:t>The globalisation of the food supply chain influences food availability, accessibility, food price and food choices.</w:t>
            </w:r>
          </w:p>
          <w:p w:rsidR="00AB7884" w:rsidRPr="0034040D" w:rsidRDefault="00AB7884" w:rsidP="007F44B4">
            <w:pPr>
              <w:pStyle w:val="ListParagraph"/>
              <w:numPr>
                <w:ilvl w:val="0"/>
                <w:numId w:val="16"/>
              </w:numPr>
              <w:tabs>
                <w:tab w:val="left" w:pos="284"/>
              </w:tabs>
              <w:autoSpaceDE w:val="0"/>
              <w:autoSpaceDN w:val="0"/>
              <w:adjustRightInd w:val="0"/>
              <w:spacing w:before="120"/>
              <w:ind w:left="357"/>
              <w:rPr>
                <w:rFonts w:eastAsiaTheme="minorEastAsia"/>
                <w:b/>
                <w:bCs/>
                <w:color w:val="000000"/>
                <w:lang w:val="en-US"/>
              </w:rPr>
            </w:pPr>
            <w:r w:rsidRPr="0034040D">
              <w:rPr>
                <w:rFonts w:eastAsiaTheme="minorEastAsia"/>
                <w:color w:val="000000"/>
                <w:lang w:val="en-US"/>
              </w:rPr>
              <w:t>Climate change negatively affects crops.</w:t>
            </w:r>
          </w:p>
          <w:p w:rsidR="00AB7884" w:rsidRPr="0034040D" w:rsidRDefault="00AB7884">
            <w:pPr>
              <w:pStyle w:val="ListParagraph"/>
              <w:tabs>
                <w:tab w:val="left" w:pos="284"/>
              </w:tabs>
              <w:autoSpaceDE w:val="0"/>
              <w:autoSpaceDN w:val="0"/>
              <w:adjustRightInd w:val="0"/>
              <w:spacing w:before="120"/>
              <w:ind w:left="357"/>
              <w:rPr>
                <w:rFonts w:eastAsiaTheme="minorEastAsia"/>
                <w:b/>
                <w:bCs/>
              </w:rPr>
            </w:pPr>
          </w:p>
        </w:tc>
      </w:tr>
    </w:tbl>
    <w:p w:rsidR="00AB7884" w:rsidRDefault="00AB7884">
      <w:pPr>
        <w:pStyle w:val="Heading2"/>
        <w:spacing w:before="0"/>
        <w:rPr>
          <w:rFonts w:ascii="Trebuchet MS" w:hAnsi="Trebuchet MS" w:cs="Trebuchet MS"/>
          <w:sz w:val="22"/>
          <w:szCs w:val="22"/>
        </w:rPr>
      </w:pPr>
    </w:p>
    <w:p w:rsidR="00AB7884" w:rsidRDefault="00AB7884">
      <w:pPr>
        <w:pStyle w:val="CommentText"/>
      </w:pPr>
    </w:p>
    <w:p w:rsidR="00AB7884" w:rsidRDefault="00AB7884">
      <w:pPr>
        <w:pStyle w:val="Heading2"/>
        <w:spacing w:before="0"/>
        <w:rPr>
          <w:rFonts w:ascii="Trebuchet MS" w:hAnsi="Trebuchet MS" w:cs="Trebuchet MS"/>
          <w:color w:val="FF0000"/>
          <w:sz w:val="24"/>
          <w:szCs w:val="24"/>
        </w:rPr>
      </w:pPr>
      <w:r>
        <w:rPr>
          <w:rFonts w:ascii="Trebuchet MS" w:hAnsi="Trebuchet MS" w:cs="Trebuchet MS"/>
          <w:sz w:val="28"/>
          <w:szCs w:val="28"/>
        </w:rPr>
        <w:t>8</w:t>
      </w:r>
      <w:r>
        <w:rPr>
          <w:rFonts w:ascii="Trebuchet MS" w:hAnsi="Trebuchet MS" w:cs="Trebuchet MS"/>
          <w:sz w:val="28"/>
          <w:szCs w:val="28"/>
        </w:rPr>
        <w:tab/>
        <w:t>THE LINK TO THE GLOBAL FOOD TRADE</w:t>
      </w:r>
    </w:p>
    <w:p w:rsidR="00AB7884" w:rsidRDefault="00717A10">
      <w:pPr>
        <w:rPr>
          <w:rFonts w:ascii="Trebuchet MS" w:hAnsi="Trebuchet MS" w:cs="Trebuchet MS"/>
          <w:b/>
          <w:bCs/>
          <w:sz w:val="18"/>
          <w:szCs w:val="18"/>
        </w:rPr>
      </w:pPr>
      <w:r w:rsidRPr="00717A10">
        <w:rPr>
          <w:color w:val="FF0000"/>
          <w:sz w:val="24"/>
          <w:szCs w:val="24"/>
        </w:rPr>
        <w:pict>
          <v:rect id="_x0000_i1058" style="width:425.2pt;height:2pt" o:hralign="center" o:hrstd="t" o:hrnoshade="t" o:hr="t" fillcolor="black" stroked="f"/>
        </w:pict>
      </w:r>
    </w:p>
    <w:p w:rsidR="00AB7884" w:rsidRDefault="00AB7884" w:rsidP="008A67CC">
      <w:pPr>
        <w:pStyle w:val="BodyText"/>
        <w:autoSpaceDE w:val="0"/>
        <w:autoSpaceDN w:val="0"/>
        <w:adjustRightInd w:val="0"/>
        <w:spacing w:before="120"/>
      </w:pPr>
      <w:r>
        <w:t>A food system includes all the processes, inputs and outputs that are involved in providing food or food-related products, such as growing, producing, processing, packaging, transporting, advertising, marketing, selling, consuming and disposing of food and food waste products. According to Pinstrup-Andersen (2002), a global food system is one that, “links national and local food systems from around the world in a clearly defined manner, for example, through information sharing, technology, or some other observable way.” Such a system, like the other aspects of globalisation, provides benefits, such as the exchange of knowledge and technology; but it also has risks and costs – usually paid by those who can least afford it.</w:t>
      </w:r>
    </w:p>
    <w:p w:rsidR="00AB7884" w:rsidRDefault="00AB7884">
      <w:pPr>
        <w:autoSpaceDE w:val="0"/>
        <w:autoSpaceDN w:val="0"/>
        <w:adjustRightInd w:val="0"/>
        <w:rPr>
          <w:sz w:val="22"/>
          <w:szCs w:val="22"/>
          <w:lang w:val="en-ZA" w:eastAsia="en-ZA"/>
        </w:rPr>
      </w:pPr>
    </w:p>
    <w:p w:rsidR="00AB7884" w:rsidRDefault="00AB7884">
      <w:pPr>
        <w:autoSpaceDE w:val="0"/>
        <w:autoSpaceDN w:val="0"/>
        <w:adjustRightInd w:val="0"/>
        <w:spacing w:before="240" w:after="120"/>
        <w:rPr>
          <w:rFonts w:ascii="Trebuchet MS" w:hAnsi="Trebuchet MS" w:cs="Trebuchet MS"/>
          <w:b/>
          <w:bCs/>
          <w:sz w:val="22"/>
          <w:szCs w:val="22"/>
        </w:rPr>
      </w:pPr>
      <w:r>
        <w:rPr>
          <w:rFonts w:ascii="Trebuchet MS" w:hAnsi="Trebuchet MS" w:cs="Trebuchet MS"/>
          <w:b/>
          <w:bCs/>
          <w:sz w:val="22"/>
          <w:szCs w:val="22"/>
        </w:rPr>
        <w:lastRenderedPageBreak/>
        <w:t>Food production</w:t>
      </w:r>
    </w:p>
    <w:p w:rsidR="00AB7884" w:rsidRDefault="00AB7884">
      <w:pPr>
        <w:pStyle w:val="BodyText"/>
        <w:autoSpaceDE w:val="0"/>
        <w:autoSpaceDN w:val="0"/>
        <w:adjustRightInd w:val="0"/>
        <w:spacing w:after="200"/>
        <w:rPr>
          <w:lang w:val="en-GB" w:eastAsia="en-US"/>
        </w:rPr>
      </w:pPr>
      <w:r>
        <w:rPr>
          <w:lang w:val="en-GB" w:eastAsia="en-US"/>
        </w:rPr>
        <w:t>Total food production in South Africa has increased over the last 40 years, mainly because of advances in technology, but, the production per capita in South Africa and Southern African Development Community (SADC) has declined (see Figure 2.2.7). There were large drops in food production per capita in 1981–1983, in 1989–1993 and again in about 1995. These periods coincided with major droughts followed by periods of recovery. However, these recovery periods were not sufficient for food production to keep up with population growth.</w:t>
      </w:r>
    </w:p>
    <w:p w:rsidR="00AB7884" w:rsidRDefault="00AB7884">
      <w:pPr>
        <w:spacing w:before="120" w:after="120" w:line="276" w:lineRule="auto"/>
        <w:rPr>
          <w:rFonts w:ascii="Trebuchet MS" w:hAnsi="Trebuchet MS" w:cs="Trebuchet MS"/>
          <w:b/>
          <w:bCs/>
          <w:sz w:val="22"/>
          <w:szCs w:val="22"/>
        </w:rPr>
      </w:pPr>
      <w:r>
        <w:rPr>
          <w:rFonts w:ascii="Trebuchet MS" w:hAnsi="Trebuchet MS" w:cs="Trebuchet MS"/>
          <w:b/>
          <w:bCs/>
          <w:sz w:val="22"/>
          <w:szCs w:val="22"/>
        </w:rPr>
        <w:t>Figure 2.2.7 The index of total and per capita food production, South Africa 1961–1998</w:t>
      </w:r>
    </w:p>
    <w:p w:rsidR="00AB7884" w:rsidRDefault="00AB7884">
      <w:pPr>
        <w:autoSpaceDE w:val="0"/>
        <w:autoSpaceDN w:val="0"/>
        <w:adjustRightInd w:val="0"/>
        <w:spacing w:after="200"/>
        <w:rPr>
          <w:noProof/>
          <w:sz w:val="22"/>
          <w:szCs w:val="22"/>
          <w:lang w:val="en-ZA" w:eastAsia="en-ZA"/>
        </w:rPr>
      </w:pPr>
      <w:r>
        <w:rPr>
          <w:b/>
          <w:bCs/>
          <w:sz w:val="22"/>
          <w:szCs w:val="22"/>
        </w:rPr>
        <w:t xml:space="preserve"> </w:t>
      </w:r>
      <w:r w:rsidR="00C42A6B" w:rsidRPr="00717A10">
        <w:rPr>
          <w:noProof/>
          <w:sz w:val="22"/>
          <w:szCs w:val="22"/>
          <w:lang w:val="en-ZA" w:eastAsia="en-ZA"/>
        </w:rPr>
        <w:pict>
          <v:shape id="_x0000_i1059" type="#_x0000_t75" style="width:273.75pt;height:205.5pt;visibility:visible">
            <v:imagedata r:id="rId37" o:title=""/>
          </v:shape>
        </w:pict>
      </w:r>
    </w:p>
    <w:p w:rsidR="00AB7884" w:rsidRPr="005A5796" w:rsidRDefault="00AB7884">
      <w:pPr>
        <w:autoSpaceDE w:val="0"/>
        <w:autoSpaceDN w:val="0"/>
        <w:adjustRightInd w:val="0"/>
        <w:spacing w:after="200"/>
        <w:rPr>
          <w:noProof/>
          <w:lang w:val="nb-NO" w:eastAsia="nb-NO"/>
        </w:rPr>
      </w:pPr>
      <w:r>
        <w:rPr>
          <w:b/>
          <w:bCs/>
          <w:i/>
          <w:iCs/>
          <w:noProof/>
          <w:lang w:val="en-ZA" w:eastAsia="en-ZA"/>
        </w:rPr>
        <w:t>Source</w:t>
      </w:r>
      <w:r>
        <w:rPr>
          <w:noProof/>
          <w:lang w:val="en-ZA" w:eastAsia="en-ZA"/>
        </w:rPr>
        <w:t xml:space="preserve">: FAO. </w:t>
      </w:r>
      <w:r>
        <w:rPr>
          <w:i/>
          <w:iCs/>
          <w:noProof/>
          <w:lang w:val="en-ZA" w:eastAsia="en-ZA"/>
        </w:rPr>
        <w:t>FAO Country Profiles.</w:t>
      </w:r>
      <w:r>
        <w:rPr>
          <w:noProof/>
          <w:lang w:val="en-ZA" w:eastAsia="en-ZA"/>
        </w:rPr>
        <w:t xml:space="preserve"> [Online], Available: </w:t>
      </w:r>
      <w:hyperlink r:id="rId38" w:history="1">
        <w:r w:rsidRPr="005A5796">
          <w:rPr>
            <w:rStyle w:val="Hyperlink"/>
            <w:rFonts w:ascii="Arial" w:hAnsi="Arial" w:cs="Arial"/>
            <w:noProof/>
            <w:u w:val="none"/>
            <w:lang w:val="en-ZA" w:eastAsia="en-ZA"/>
          </w:rPr>
          <w:t>http://faostat.fao.org/countryprofiles/index.asp?subj=48iso3=ALB</w:t>
        </w:r>
      </w:hyperlink>
      <w:r w:rsidRPr="005A5796">
        <w:rPr>
          <w:noProof/>
          <w:lang w:val="en-ZA" w:eastAsia="en-ZA"/>
        </w:rPr>
        <w:t xml:space="preserve"> [ Downloaded: 6.9.12].</w:t>
      </w:r>
    </w:p>
    <w:p w:rsidR="00AB7884" w:rsidRPr="005A5796" w:rsidRDefault="00AB7884">
      <w:pPr>
        <w:autoSpaceDE w:val="0"/>
        <w:autoSpaceDN w:val="0"/>
        <w:adjustRightInd w:val="0"/>
        <w:spacing w:after="200"/>
        <w:rPr>
          <w:noProof/>
          <w:sz w:val="22"/>
          <w:szCs w:val="22"/>
          <w:lang w:val="en-ZA" w:eastAsia="en-ZA"/>
        </w:rPr>
      </w:pPr>
      <w:r w:rsidRPr="005A5796">
        <w:rPr>
          <w:sz w:val="22"/>
          <w:szCs w:val="22"/>
        </w:rPr>
        <w:t>The decline in domestic food production has impacted on food security in the entire southern African region. As a result, South Africa began to import or manufacture processed foods. In 2004 it spent R70 million on imported food and by 2009 this had increased to R100 million</w:t>
      </w:r>
      <w:r w:rsidRPr="005A5796">
        <w:rPr>
          <w:noProof/>
          <w:sz w:val="22"/>
          <w:szCs w:val="22"/>
          <w:lang w:val="en-ZA" w:eastAsia="en-Z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0"/>
      </w:tblGrid>
      <w:tr w:rsidR="00AB7884" w:rsidRPr="005A5796" w:rsidTr="0034040D">
        <w:tc>
          <w:tcPr>
            <w:tcW w:w="8190" w:type="dxa"/>
          </w:tcPr>
          <w:p w:rsidR="00AB7884" w:rsidRPr="005A5796" w:rsidRDefault="00AB7884">
            <w:pPr>
              <w:spacing w:before="120" w:after="120"/>
              <w:rPr>
                <w:rFonts w:ascii="Trebuchet MS" w:eastAsiaTheme="minorEastAsia" w:hAnsi="Trebuchet MS" w:cs="Trebuchet MS"/>
                <w:b/>
                <w:bCs/>
                <w:sz w:val="22"/>
                <w:szCs w:val="22"/>
                <w:lang w:eastAsia="en-ZA"/>
              </w:rPr>
            </w:pPr>
            <w:r w:rsidRPr="005A5796">
              <w:rPr>
                <w:rFonts w:ascii="Trebuchet MS" w:eastAsiaTheme="minorEastAsia" w:hAnsi="Trebuchet MS" w:cs="Trebuchet MS"/>
                <w:b/>
                <w:bCs/>
                <w:sz w:val="22"/>
                <w:szCs w:val="22"/>
                <w:lang w:eastAsia="en-ZA"/>
              </w:rPr>
              <w:t>READING</w:t>
            </w:r>
          </w:p>
          <w:p w:rsidR="00AB7884" w:rsidRPr="005A5796" w:rsidRDefault="00AB7884">
            <w:pPr>
              <w:spacing w:before="120" w:after="120"/>
              <w:rPr>
                <w:rFonts w:ascii="Trebuchet MS" w:eastAsiaTheme="minorEastAsia" w:hAnsi="Trebuchet MS" w:cs="Trebuchet MS"/>
                <w:sz w:val="22"/>
                <w:szCs w:val="22"/>
                <w:lang w:eastAsia="en-ZA"/>
              </w:rPr>
            </w:pPr>
            <w:r w:rsidRPr="005A5796">
              <w:rPr>
                <w:rFonts w:ascii="Trebuchet MS" w:eastAsiaTheme="minorEastAsia" w:hAnsi="Trebuchet MS" w:cs="Trebuchet MS"/>
                <w:sz w:val="22"/>
                <w:szCs w:val="22"/>
                <w:lang w:eastAsia="en-ZA"/>
              </w:rPr>
              <w:t xml:space="preserve">Greene, M.  (2011). Invest in African farmers to aid world food security – Annan. </w:t>
            </w:r>
            <w:r w:rsidRPr="005A5796">
              <w:rPr>
                <w:rFonts w:ascii="Trebuchet MS" w:eastAsiaTheme="minorEastAsia" w:hAnsi="Trebuchet MS" w:cs="Trebuchet MS"/>
                <w:i/>
                <w:iCs/>
                <w:sz w:val="22"/>
                <w:szCs w:val="22"/>
                <w:lang w:eastAsia="en-ZA"/>
              </w:rPr>
              <w:t>Alertnet</w:t>
            </w:r>
            <w:r w:rsidRPr="005A5796">
              <w:rPr>
                <w:rFonts w:ascii="Trebuchet MS" w:eastAsiaTheme="minorEastAsia" w:hAnsi="Trebuchet MS" w:cs="Trebuchet MS"/>
                <w:sz w:val="22"/>
                <w:szCs w:val="22"/>
                <w:lang w:eastAsia="en-ZA"/>
              </w:rPr>
              <w:t xml:space="preserve">. [Online], Available: </w:t>
            </w:r>
            <w:hyperlink r:id="rId39" w:history="1">
              <w:r w:rsidRPr="005A5796">
                <w:rPr>
                  <w:rStyle w:val="Hyperlink"/>
                  <w:rFonts w:ascii="Trebuchet MS" w:eastAsiaTheme="minorEastAsia" w:hAnsi="Trebuchet MS" w:cs="Trebuchet MS"/>
                  <w:sz w:val="22"/>
                  <w:szCs w:val="22"/>
                  <w:u w:val="none"/>
                  <w:lang w:eastAsia="en-ZA"/>
                </w:rPr>
                <w:t>http://www.trust.org/alertnet/news/invest-in-african-farmers-to-aid-world-food-security-annan/</w:t>
              </w:r>
            </w:hyperlink>
            <w:r w:rsidRPr="005A5796">
              <w:rPr>
                <w:rFonts w:ascii="Trebuchet MS" w:eastAsiaTheme="minorEastAsia" w:hAnsi="Trebuchet MS" w:cs="Trebuchet MS"/>
                <w:sz w:val="22"/>
                <w:szCs w:val="22"/>
                <w:lang w:eastAsia="en-ZA"/>
              </w:rPr>
              <w:t xml:space="preserve"> [Downloaded: 3.9.12]</w:t>
            </w:r>
            <w:r w:rsidR="00AA30E5">
              <w:rPr>
                <w:rFonts w:ascii="Trebuchet MS" w:eastAsiaTheme="minorEastAsia" w:hAnsi="Trebuchet MS" w:cs="Trebuchet MS"/>
                <w:sz w:val="22"/>
                <w:szCs w:val="22"/>
                <w:lang w:eastAsia="en-ZA"/>
              </w:rPr>
              <w:t xml:space="preserve"> [3 pages]</w:t>
            </w:r>
            <w:r w:rsidRPr="005A5796">
              <w:rPr>
                <w:rFonts w:ascii="Trebuchet MS" w:eastAsiaTheme="minorEastAsia" w:hAnsi="Trebuchet MS" w:cs="Trebuchet MS"/>
                <w:sz w:val="22"/>
                <w:szCs w:val="22"/>
                <w:lang w:eastAsia="en-ZA"/>
              </w:rPr>
              <w:t>.</w:t>
            </w:r>
          </w:p>
          <w:p w:rsidR="00AB7884" w:rsidRPr="005A5796" w:rsidRDefault="00AB7884">
            <w:pPr>
              <w:spacing w:before="120" w:after="120"/>
              <w:rPr>
                <w:rFonts w:ascii="Trebuchet MS" w:eastAsiaTheme="minorEastAsia" w:hAnsi="Trebuchet MS" w:cs="Trebuchet MS"/>
                <w:sz w:val="22"/>
                <w:szCs w:val="22"/>
                <w:lang w:eastAsia="en-ZA"/>
              </w:rPr>
            </w:pPr>
            <w:r w:rsidRPr="005A5796">
              <w:rPr>
                <w:rFonts w:ascii="Trebuchet MS" w:eastAsiaTheme="minorEastAsia" w:hAnsi="Trebuchet MS" w:cs="Trebuchet MS"/>
                <w:sz w:val="22"/>
                <w:szCs w:val="22"/>
                <w:lang w:eastAsia="en-ZA"/>
              </w:rPr>
              <w:t>According to Kofi Annan (quoted in the above article):</w:t>
            </w:r>
          </w:p>
          <w:p w:rsidR="00AB7884" w:rsidRPr="005A5796" w:rsidRDefault="00AB7884">
            <w:pPr>
              <w:spacing w:before="120" w:after="120"/>
              <w:rPr>
                <w:rFonts w:ascii="Trebuchet MS" w:eastAsiaTheme="minorEastAsia" w:hAnsi="Trebuchet MS" w:cs="Trebuchet MS"/>
                <w:i/>
                <w:iCs/>
                <w:sz w:val="22"/>
                <w:szCs w:val="22"/>
                <w:lang w:eastAsia="en-ZA"/>
              </w:rPr>
            </w:pPr>
            <w:r w:rsidRPr="005A5796">
              <w:rPr>
                <w:rFonts w:ascii="Trebuchet MS" w:eastAsiaTheme="minorEastAsia" w:hAnsi="Trebuchet MS" w:cs="Trebuchet MS"/>
                <w:sz w:val="22"/>
                <w:szCs w:val="22"/>
                <w:lang w:eastAsia="en-ZA"/>
              </w:rPr>
              <w:t>“…</w:t>
            </w:r>
            <w:r w:rsidRPr="005A5796">
              <w:rPr>
                <w:rFonts w:ascii="Trebuchet MS" w:eastAsiaTheme="minorEastAsia" w:hAnsi="Trebuchet MS" w:cs="Trebuchet MS"/>
                <w:i/>
                <w:iCs/>
                <w:sz w:val="22"/>
                <w:szCs w:val="22"/>
                <w:lang w:eastAsia="en-ZA"/>
              </w:rPr>
              <w:t>supporting Africa’s farmers could help not only reduce hunger in Africa, but help meet future food needs across the world.” Annan discusses the example of Tanzania which has opened up opportunities for the millions of smallholder farmers rather than the larger farming operations, in its Green Revolution strategy, “Kilimo Kwanza”. Not only is this good for the Tanzanian economy, but it is also good for the climate and for improving the position of women in society (most of Africa’s farmers are women).</w:t>
            </w:r>
          </w:p>
          <w:p w:rsidR="00AB7884" w:rsidRPr="005A5796" w:rsidRDefault="00AB7884">
            <w:pPr>
              <w:pStyle w:val="Heading6"/>
              <w:autoSpaceDE/>
              <w:autoSpaceDN/>
              <w:adjustRightInd/>
              <w:spacing w:before="240" w:after="120"/>
              <w:rPr>
                <w:rFonts w:eastAsiaTheme="minorEastAsia"/>
                <w:lang w:eastAsia="en-ZA"/>
              </w:rPr>
            </w:pPr>
            <w:r w:rsidRPr="005A5796">
              <w:rPr>
                <w:rFonts w:eastAsiaTheme="minorEastAsia"/>
                <w:lang w:eastAsia="en-ZA"/>
              </w:rPr>
              <w:lastRenderedPageBreak/>
              <w:t>READING</w:t>
            </w:r>
          </w:p>
          <w:p w:rsidR="00AB7884" w:rsidRPr="005A5796" w:rsidRDefault="00AB7884">
            <w:pPr>
              <w:spacing w:before="120" w:after="120"/>
              <w:rPr>
                <w:rFonts w:ascii="Trebuchet MS" w:eastAsiaTheme="minorEastAsia" w:hAnsi="Trebuchet MS" w:cs="Trebuchet MS"/>
                <w:sz w:val="22"/>
                <w:szCs w:val="22"/>
                <w:lang w:eastAsia="en-ZA"/>
              </w:rPr>
            </w:pPr>
            <w:r w:rsidRPr="005A5796">
              <w:rPr>
                <w:rFonts w:ascii="Trebuchet MS" w:eastAsiaTheme="minorEastAsia" w:hAnsi="Trebuchet MS" w:cs="Trebuchet MS"/>
                <w:sz w:val="22"/>
                <w:szCs w:val="22"/>
                <w:lang w:eastAsia="en-ZA"/>
              </w:rPr>
              <w:t xml:space="preserve">Mutume, G. (2003). Mounting opposition to Northern farm subsidies: African cotton farmers battling to survive. </w:t>
            </w:r>
            <w:r w:rsidRPr="005A5796">
              <w:rPr>
                <w:rFonts w:ascii="Trebuchet MS" w:eastAsiaTheme="minorEastAsia" w:hAnsi="Trebuchet MS" w:cs="Trebuchet MS"/>
                <w:i/>
                <w:iCs/>
                <w:sz w:val="22"/>
                <w:szCs w:val="22"/>
                <w:lang w:eastAsia="en-ZA"/>
              </w:rPr>
              <w:t>Africa Recover</w:t>
            </w:r>
            <w:r w:rsidRPr="005A5796">
              <w:rPr>
                <w:rFonts w:ascii="Trebuchet MS" w:eastAsiaTheme="minorEastAsia" w:hAnsi="Trebuchet MS" w:cs="Trebuchet MS"/>
                <w:sz w:val="22"/>
                <w:szCs w:val="22"/>
                <w:lang w:eastAsia="en-ZA"/>
              </w:rPr>
              <w:t>, 17(1):18.</w:t>
            </w:r>
          </w:p>
          <w:p w:rsidR="00AB7884" w:rsidRPr="005A5796" w:rsidRDefault="00AB7884">
            <w:pPr>
              <w:spacing w:before="100" w:beforeAutospacing="1" w:after="120"/>
              <w:rPr>
                <w:rFonts w:ascii="Trebuchet MS" w:eastAsiaTheme="minorEastAsia" w:hAnsi="Trebuchet MS" w:cs="Trebuchet MS"/>
                <w:b/>
                <w:bCs/>
                <w:sz w:val="22"/>
                <w:szCs w:val="22"/>
                <w:lang w:eastAsia="en-ZA"/>
              </w:rPr>
            </w:pPr>
            <w:r w:rsidRPr="005A5796">
              <w:rPr>
                <w:rFonts w:ascii="Trebuchet MS" w:eastAsiaTheme="minorEastAsia" w:hAnsi="Trebuchet MS" w:cs="Trebuchet MS"/>
                <w:sz w:val="22"/>
                <w:szCs w:val="22"/>
                <w:lang w:eastAsia="en-ZA"/>
              </w:rPr>
              <w:t xml:space="preserve">The above reading shows how the US and UK agricultural subsidies ignore the rules of the WTO, and drive down their export prices so that African farmers cannot compete with them on the global market. These practices are undermining the fragile economies of African countries which depend on a few agricultural products for their export revenue, pushing them further into poverty and not giving them a fair opportunity to trade their way out of poverty through a fair trading system. They then get trapped into having to accept foreign aid and the conditionalities that accompany it. </w:t>
            </w:r>
          </w:p>
        </w:tc>
      </w:tr>
    </w:tbl>
    <w:p w:rsidR="00AB7884" w:rsidRDefault="00AB7884">
      <w:pPr>
        <w:pStyle w:val="ListParagraph"/>
        <w:autoSpaceDE w:val="0"/>
        <w:autoSpaceDN w:val="0"/>
        <w:adjustRightInd w:val="0"/>
        <w:spacing w:before="240" w:after="120"/>
        <w:ind w:left="0"/>
        <w:rPr>
          <w:sz w:val="22"/>
          <w:szCs w:val="22"/>
          <w:lang w:val="en-ZA" w:eastAsia="nb-NO"/>
        </w:rPr>
      </w:pPr>
      <w:r>
        <w:rPr>
          <w:sz w:val="22"/>
          <w:szCs w:val="22"/>
          <w:lang w:val="en-ZA" w:eastAsia="nb-NO"/>
        </w:rPr>
        <w:lastRenderedPageBreak/>
        <w:t xml:space="preserve">Globalisation has changed agriculture in developed and developing economies in various ways. </w:t>
      </w:r>
      <w:r>
        <w:rPr>
          <w:sz w:val="22"/>
          <w:szCs w:val="22"/>
          <w:lang w:val="en-ZA"/>
        </w:rPr>
        <w:t xml:space="preserve">Agricultural diversity is under assault from global companies that encourage farmers to grow high-yielding crops using expensive bioengineered seeds, chemical fertilisers and toxic pesticides. </w:t>
      </w:r>
      <w:r>
        <w:rPr>
          <w:sz w:val="22"/>
          <w:szCs w:val="22"/>
          <w:lang w:val="en-ZA" w:eastAsia="nb-NO"/>
        </w:rPr>
        <w:t>For example:</w:t>
      </w:r>
    </w:p>
    <w:p w:rsidR="00AB7884" w:rsidRDefault="00AB7884" w:rsidP="007F44B4">
      <w:pPr>
        <w:numPr>
          <w:ilvl w:val="0"/>
          <w:numId w:val="27"/>
        </w:numPr>
        <w:autoSpaceDE w:val="0"/>
        <w:autoSpaceDN w:val="0"/>
        <w:adjustRightInd w:val="0"/>
        <w:rPr>
          <w:sz w:val="22"/>
          <w:szCs w:val="22"/>
          <w:lang w:val="en-ZA" w:eastAsia="nb-NO"/>
        </w:rPr>
      </w:pPr>
      <w:r>
        <w:rPr>
          <w:sz w:val="22"/>
          <w:szCs w:val="22"/>
          <w:lang w:val="en-ZA" w:eastAsia="nb-NO"/>
        </w:rPr>
        <w:t xml:space="preserve">Farmers are encouraged to grow a single crop over a wide area (monoculture), and to grow the same crop year after year for its trade potential rather than its nutritional content. Crop monoculture has many disadvantages, including the quick spread of disease if the crop is susceptible to a pathogen. </w:t>
      </w:r>
    </w:p>
    <w:p w:rsidR="00AB7884" w:rsidRDefault="00AB7884" w:rsidP="007F44B4">
      <w:pPr>
        <w:pStyle w:val="ListParagraph"/>
        <w:numPr>
          <w:ilvl w:val="0"/>
          <w:numId w:val="27"/>
        </w:numPr>
        <w:autoSpaceDE w:val="0"/>
        <w:autoSpaceDN w:val="0"/>
        <w:adjustRightInd w:val="0"/>
        <w:rPr>
          <w:sz w:val="22"/>
          <w:szCs w:val="22"/>
          <w:lang w:val="en-ZA"/>
        </w:rPr>
      </w:pPr>
      <w:r>
        <w:rPr>
          <w:sz w:val="22"/>
          <w:szCs w:val="22"/>
          <w:lang w:val="en-ZA" w:eastAsia="nb-NO"/>
        </w:rPr>
        <w:t xml:space="preserve">Farmers routinely use agrochemicals and hybrid seeds – the latter cannot be saved which means that new seeds must be purchased each year (many from chemical corporations which sell ‘agricultural package’ which include hybrid, seeds, fertilisers and pesticides). </w:t>
      </w:r>
    </w:p>
    <w:p w:rsidR="00AB7884" w:rsidRDefault="00AB7884" w:rsidP="007F44B4">
      <w:pPr>
        <w:numPr>
          <w:ilvl w:val="0"/>
          <w:numId w:val="27"/>
        </w:numPr>
        <w:autoSpaceDE w:val="0"/>
        <w:autoSpaceDN w:val="0"/>
        <w:adjustRightInd w:val="0"/>
        <w:rPr>
          <w:sz w:val="22"/>
          <w:szCs w:val="22"/>
          <w:lang w:val="en-ZA" w:eastAsia="nb-NO"/>
        </w:rPr>
      </w:pPr>
      <w:r>
        <w:rPr>
          <w:sz w:val="22"/>
          <w:szCs w:val="22"/>
          <w:lang w:val="en-ZA" w:eastAsia="nb-NO"/>
        </w:rPr>
        <w:t xml:space="preserve">Farmers have also adopted the application of genetically modified technology to produce food crops. </w:t>
      </w:r>
    </w:p>
    <w:p w:rsidR="00AB7884" w:rsidRDefault="00AB7884" w:rsidP="007F44B4">
      <w:pPr>
        <w:numPr>
          <w:ilvl w:val="0"/>
          <w:numId w:val="27"/>
        </w:numPr>
        <w:autoSpaceDE w:val="0"/>
        <w:autoSpaceDN w:val="0"/>
        <w:adjustRightInd w:val="0"/>
        <w:rPr>
          <w:sz w:val="22"/>
          <w:szCs w:val="22"/>
          <w:lang w:val="en-ZA" w:eastAsia="nb-NO"/>
        </w:rPr>
      </w:pPr>
      <w:r>
        <w:rPr>
          <w:sz w:val="22"/>
          <w:szCs w:val="22"/>
          <w:lang w:val="en-ZA" w:eastAsia="nb-NO"/>
        </w:rPr>
        <w:t>Farmers are encouraged towards cultivating crops that can produce biofuels to be used for fuel production. This diverts crops to non-food use, but also reduces land for cultivating crops for food use.</w:t>
      </w:r>
    </w:p>
    <w:p w:rsidR="00AB7884" w:rsidRDefault="00AB7884">
      <w:pPr>
        <w:autoSpaceDE w:val="0"/>
        <w:autoSpaceDN w:val="0"/>
        <w:adjustRightInd w:val="0"/>
        <w:rPr>
          <w:sz w:val="22"/>
          <w:szCs w:val="22"/>
          <w:lang w:val="en-ZA" w:eastAsia="nb-NO"/>
        </w:rPr>
      </w:pPr>
    </w:p>
    <w:p w:rsidR="00AB7884" w:rsidRDefault="00AB7884">
      <w:pPr>
        <w:autoSpaceDE w:val="0"/>
        <w:autoSpaceDN w:val="0"/>
        <w:adjustRightInd w:val="0"/>
        <w:rPr>
          <w:rFonts w:ascii="Trebuchet MS" w:hAnsi="Trebuchet MS" w:cs="Trebuchet MS"/>
          <w:i/>
          <w:iCs/>
          <w:sz w:val="22"/>
          <w:szCs w:val="22"/>
          <w:lang w:val="en-ZA" w:eastAsia="nb-NO"/>
        </w:rPr>
      </w:pPr>
      <w:r>
        <w:rPr>
          <w:sz w:val="22"/>
          <w:szCs w:val="22"/>
          <w:lang w:val="en-ZA" w:eastAsia="nb-NO"/>
        </w:rPr>
        <w:t xml:space="preserve">Governments, agricultural TNCs, corporations and private investors are buying or leasing huge tracts of land from poorer countries to grow food – called ‘land grabs’.  This has displaced many small-scale farmers, increased food insecurity and spiked food prices. It is estimated that between 50 and 80 million hectares of land have been acquired in this way – mostly in low-income countries and approximately two-thirds in Sub-Saharan Africa (Save the Children UK, 2012). </w:t>
      </w:r>
      <w:r>
        <w:rPr>
          <w:sz w:val="22"/>
          <w:szCs w:val="22"/>
        </w:rPr>
        <w:t xml:space="preserve">Ethiopia, for example, relies on 700,000 tonnes of emergency food aid each year, but has sold long-term leases to at least 3 million hectares of its best arable land to foreign companies. To encourage further foreign investment Ethiopia has been advised that there should be very little taxation on the subsequent food exports. </w:t>
      </w:r>
      <w:r>
        <w:rPr>
          <w:rFonts w:ascii="Trebuchet MS" w:hAnsi="Trebuchet MS" w:cs="Trebuchet MS"/>
          <w:i/>
          <w:iCs/>
          <w:sz w:val="22"/>
          <w:szCs w:val="22"/>
          <w:lang w:val="en-ZA" w:eastAsia="nb-NO"/>
        </w:rPr>
        <w:br/>
      </w:r>
    </w:p>
    <w:tbl>
      <w:tblPr>
        <w:tblW w:w="8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4"/>
        <w:gridCol w:w="6856"/>
      </w:tblGrid>
      <w:tr w:rsidR="00AB7884" w:rsidRPr="0034040D" w:rsidTr="0034040D">
        <w:trPr>
          <w:trHeight w:val="963"/>
        </w:trPr>
        <w:tc>
          <w:tcPr>
            <w:tcW w:w="1334" w:type="dxa"/>
          </w:tcPr>
          <w:p w:rsidR="00AB7884" w:rsidRPr="0034040D" w:rsidRDefault="00717A10">
            <w:pPr>
              <w:spacing w:before="120" w:after="120"/>
              <w:rPr>
                <w:rFonts w:ascii="Trebuchet MS" w:eastAsiaTheme="minorEastAsia" w:hAnsi="Trebuchet MS" w:cs="Trebuchet MS"/>
                <w:b/>
                <w:bCs/>
              </w:rPr>
            </w:pPr>
            <w:r w:rsidRPr="00717A10">
              <w:rPr>
                <w:rFonts w:ascii="Trebuchet MS" w:eastAsiaTheme="minorEastAsia" w:hAnsi="Trebuchet MS" w:cs="Trebuchet MS"/>
              </w:rPr>
              <w:pict>
                <v:shape id="_x0000_i1060" type="#_x0000_t75" style="width:51pt;height:63pt" filled="t" fillcolor="silver">
                  <v:imagedata r:id="rId10" o:title=""/>
                </v:shape>
              </w:pict>
            </w:r>
          </w:p>
        </w:tc>
        <w:tc>
          <w:tcPr>
            <w:tcW w:w="6856" w:type="dxa"/>
          </w:tcPr>
          <w:p w:rsidR="00AB7884" w:rsidRPr="0034040D" w:rsidRDefault="00AB7884">
            <w:pPr>
              <w:pStyle w:val="EndnoteText"/>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DVD Resource</w:t>
            </w:r>
          </w:p>
          <w:p w:rsidR="00AB7884" w:rsidRPr="0034040D" w:rsidRDefault="00AB7884">
            <w:pPr>
              <w:rPr>
                <w:rFonts w:ascii="Trebuchet MS" w:eastAsiaTheme="minorEastAsia" w:hAnsi="Trebuchet MS" w:cs="Trebuchet MS"/>
                <w:sz w:val="22"/>
                <w:szCs w:val="22"/>
              </w:rPr>
            </w:pPr>
            <w:r w:rsidRPr="0034040D">
              <w:rPr>
                <w:rFonts w:ascii="Trebuchet MS" w:eastAsiaTheme="minorEastAsia" w:hAnsi="Trebuchet MS" w:cs="Trebuchet MS"/>
                <w:sz w:val="22"/>
                <w:szCs w:val="22"/>
              </w:rPr>
              <w:t>David Sanders at Rio Political Conference 2011.MTS.mp4</w:t>
            </w:r>
            <w:r w:rsidR="000112F7">
              <w:rPr>
                <w:rFonts w:ascii="Trebuchet MS" w:eastAsiaTheme="minorEastAsia" w:hAnsi="Trebuchet MS" w:cs="Trebuchet MS"/>
                <w:sz w:val="22"/>
                <w:szCs w:val="22"/>
              </w:rPr>
              <w:t xml:space="preserve"> [See DVD</w:t>
            </w:r>
            <w:r w:rsidR="00A76DF7">
              <w:rPr>
                <w:rFonts w:ascii="Trebuchet MS" w:eastAsiaTheme="minorEastAsia" w:hAnsi="Trebuchet MS" w:cs="Trebuchet MS"/>
                <w:sz w:val="22"/>
                <w:szCs w:val="22"/>
              </w:rPr>
              <w:t xml:space="preserve"> Unit 2</w:t>
            </w:r>
            <w:r w:rsidR="000112F7">
              <w:rPr>
                <w:rFonts w:ascii="Trebuchet MS" w:eastAsiaTheme="minorEastAsia" w:hAnsi="Trebuchet MS" w:cs="Trebuchet MS"/>
                <w:sz w:val="22"/>
                <w:szCs w:val="22"/>
              </w:rPr>
              <w:t>]</w:t>
            </w:r>
          </w:p>
          <w:p w:rsidR="00AB7884" w:rsidRPr="0034040D" w:rsidRDefault="00AB7884">
            <w:pPr>
              <w:rPr>
                <w:rFonts w:ascii="Trebuchet MS" w:eastAsiaTheme="minorEastAsia" w:hAnsi="Trebuchet MS" w:cs="Trebuchet MS"/>
                <w:sz w:val="22"/>
                <w:szCs w:val="22"/>
              </w:rPr>
            </w:pPr>
          </w:p>
          <w:p w:rsidR="00AB7884" w:rsidRPr="0034040D" w:rsidRDefault="00AB7884">
            <w:pPr>
              <w:rPr>
                <w:rFonts w:ascii="Trebuchet MS" w:eastAsiaTheme="minorEastAsia" w:hAnsi="Trebuchet MS" w:cs="Trebuchet MS"/>
                <w:sz w:val="22"/>
                <w:szCs w:val="22"/>
              </w:rPr>
            </w:pPr>
          </w:p>
        </w:tc>
      </w:tr>
    </w:tbl>
    <w:p w:rsidR="00AB7884" w:rsidRDefault="00AB7884">
      <w:pPr>
        <w:pStyle w:val="ListParagraph"/>
        <w:autoSpaceDE w:val="0"/>
        <w:autoSpaceDN w:val="0"/>
        <w:adjustRightInd w:val="0"/>
        <w:spacing w:before="240" w:after="120"/>
        <w:ind w:left="0"/>
        <w:rPr>
          <w:rFonts w:ascii="Trebuchet MS" w:hAnsi="Trebuchet MS" w:cs="Trebuchet MS"/>
          <w:b/>
          <w:bCs/>
          <w:sz w:val="22"/>
          <w:szCs w:val="22"/>
          <w:lang w:val="en-ZA"/>
        </w:rPr>
      </w:pPr>
    </w:p>
    <w:p w:rsidR="00AB7884" w:rsidRDefault="00AB7884">
      <w:pPr>
        <w:pStyle w:val="ListParagraph"/>
        <w:autoSpaceDE w:val="0"/>
        <w:autoSpaceDN w:val="0"/>
        <w:adjustRightInd w:val="0"/>
        <w:spacing w:before="240" w:after="120"/>
        <w:ind w:left="0"/>
        <w:rPr>
          <w:rFonts w:ascii="Trebuchet MS" w:hAnsi="Trebuchet MS" w:cs="Trebuchet MS"/>
          <w:b/>
          <w:bCs/>
          <w:sz w:val="22"/>
          <w:szCs w:val="22"/>
          <w:lang w:val="en-ZA"/>
        </w:rPr>
      </w:pPr>
      <w:r>
        <w:rPr>
          <w:rFonts w:ascii="Trebuchet MS" w:hAnsi="Trebuchet MS" w:cs="Trebuchet MS"/>
          <w:b/>
          <w:bCs/>
          <w:sz w:val="22"/>
          <w:szCs w:val="22"/>
          <w:lang w:val="en-ZA"/>
        </w:rPr>
        <w:br w:type="page"/>
      </w:r>
      <w:r>
        <w:rPr>
          <w:rFonts w:ascii="Trebuchet MS" w:hAnsi="Trebuchet MS" w:cs="Trebuchet MS"/>
          <w:b/>
          <w:bCs/>
          <w:sz w:val="22"/>
          <w:szCs w:val="22"/>
          <w:lang w:val="en-ZA"/>
        </w:rPr>
        <w:lastRenderedPageBreak/>
        <w:t>Food processing</w:t>
      </w:r>
    </w:p>
    <w:p w:rsidR="00AB7884" w:rsidRDefault="00AB7884">
      <w:pPr>
        <w:pStyle w:val="ListParagraph"/>
        <w:autoSpaceDE w:val="0"/>
        <w:autoSpaceDN w:val="0"/>
        <w:adjustRightInd w:val="0"/>
        <w:spacing w:before="240"/>
        <w:ind w:left="0"/>
        <w:rPr>
          <w:sz w:val="22"/>
          <w:szCs w:val="22"/>
        </w:rPr>
      </w:pPr>
      <w:r>
        <w:rPr>
          <w:sz w:val="22"/>
          <w:szCs w:val="22"/>
          <w:lang w:val="en-ZA"/>
        </w:rPr>
        <w:t>Agribusiness also tends to invest in the processing of raw commodities for export. Not only does p</w:t>
      </w:r>
      <w:r>
        <w:rPr>
          <w:sz w:val="22"/>
          <w:szCs w:val="22"/>
        </w:rPr>
        <w:t>rocessing destroy nutrients; it also removes much of the taste and colour from food, so that the global food industry compensates by adding artificial flavourings, colourings and chemical preservatives in order to extend the shelf life global foods require.</w:t>
      </w:r>
    </w:p>
    <w:p w:rsidR="00AB7884" w:rsidRDefault="00AB7884">
      <w:pPr>
        <w:pStyle w:val="ListParagraph"/>
        <w:autoSpaceDE w:val="0"/>
        <w:autoSpaceDN w:val="0"/>
        <w:adjustRightInd w:val="0"/>
        <w:spacing w:before="240" w:after="120"/>
        <w:ind w:left="0"/>
        <w:rPr>
          <w:sz w:val="22"/>
          <w:szCs w:val="22"/>
        </w:rPr>
      </w:pPr>
      <w:r>
        <w:rPr>
          <w:rFonts w:ascii="Trebuchet MS" w:hAnsi="Trebuchet MS" w:cs="Trebuchet MS"/>
          <w:b/>
          <w:bCs/>
          <w:sz w:val="22"/>
          <w:szCs w:val="22"/>
        </w:rPr>
        <w:t>Transporting food</w:t>
      </w:r>
      <w:r>
        <w:rPr>
          <w:rFonts w:ascii="Trebuchet MS" w:hAnsi="Trebuchet MS" w:cs="Trebuchet MS"/>
          <w:b/>
          <w:bCs/>
          <w:sz w:val="22"/>
          <w:szCs w:val="22"/>
        </w:rPr>
        <w:br/>
      </w:r>
      <w:r>
        <w:rPr>
          <w:sz w:val="22"/>
          <w:szCs w:val="22"/>
        </w:rPr>
        <w:t>Food miles refer to the distance food travels, from the time that it is produced to the time it reaches the consumer. Food is transported around the world, using fossil-fuel powered transport and in this process, produces millions of tons of carbon dioxide. Food miles are one factor used to assess the impact that global trade is having on the environment. We will look at this again in Unit 3 when we discuss global warming and climate change.</w:t>
      </w:r>
    </w:p>
    <w:p w:rsidR="00AB7884" w:rsidRDefault="00AB7884">
      <w:pPr>
        <w:tabs>
          <w:tab w:val="left" w:pos="284"/>
        </w:tabs>
        <w:autoSpaceDE w:val="0"/>
        <w:autoSpaceDN w:val="0"/>
        <w:adjustRightInd w:val="0"/>
        <w:spacing w:before="240" w:after="120"/>
        <w:rPr>
          <w:rFonts w:ascii="Trebuchet MS" w:hAnsi="Trebuchet MS" w:cs="Trebuchet MS"/>
          <w:b/>
          <w:bCs/>
          <w:color w:val="000000"/>
          <w:sz w:val="22"/>
          <w:szCs w:val="22"/>
          <w:lang w:val="en-US"/>
        </w:rPr>
      </w:pPr>
      <w:r>
        <w:rPr>
          <w:rFonts w:ascii="Trebuchet MS" w:hAnsi="Trebuchet MS" w:cs="Trebuchet MS"/>
          <w:b/>
          <w:bCs/>
          <w:color w:val="000000"/>
          <w:sz w:val="22"/>
          <w:szCs w:val="22"/>
          <w:lang w:val="en-US"/>
        </w:rPr>
        <w:t>Fast food consumption</w:t>
      </w:r>
    </w:p>
    <w:p w:rsidR="00AB7884" w:rsidRDefault="00AB7884">
      <w:pPr>
        <w:tabs>
          <w:tab w:val="left" w:pos="284"/>
        </w:tabs>
        <w:autoSpaceDE w:val="0"/>
        <w:autoSpaceDN w:val="0"/>
        <w:adjustRightInd w:val="0"/>
        <w:rPr>
          <w:b/>
          <w:bCs/>
          <w:color w:val="000000"/>
          <w:sz w:val="22"/>
          <w:szCs w:val="22"/>
          <w:lang w:val="en-US"/>
        </w:rPr>
      </w:pPr>
      <w:r>
        <w:rPr>
          <w:color w:val="000000"/>
          <w:sz w:val="22"/>
          <w:szCs w:val="22"/>
          <w:lang w:val="en-US"/>
        </w:rPr>
        <w:t xml:space="preserve">Globally, obesity has been linked to increasing levels of fast food consumption. </w:t>
      </w:r>
      <w:r>
        <w:rPr>
          <w:sz w:val="22"/>
          <w:szCs w:val="22"/>
          <w:lang w:val="en-ZA"/>
        </w:rPr>
        <w:t xml:space="preserve">According to the WHO (2003), the aggressive marketing of fast-food outlets which mainly serve energy-dense foods, high in fat, sodium and sugar, and low in fibre and micronutrients, and sugar-sweetened soft drinks and fruit juices, contribute to the obesogenic environment. This is particularly problematic in a country like South Africa where the baseline diet is already low in micronutrients. Figure 2.2.8 illustrates the </w:t>
      </w:r>
      <w:r>
        <w:rPr>
          <w:color w:val="000000"/>
          <w:sz w:val="22"/>
          <w:szCs w:val="22"/>
          <w:lang w:val="en-US"/>
        </w:rPr>
        <w:t>increase in the number of transactions at fast food burger and chicken outlets in South Africa between 1995 and 1999. You can see that it almost doubled</w:t>
      </w:r>
      <w:r>
        <w:rPr>
          <w:b/>
          <w:bCs/>
          <w:color w:val="000000"/>
          <w:sz w:val="22"/>
          <w:szCs w:val="22"/>
          <w:lang w:val="en-US"/>
        </w:rPr>
        <w:t>.</w:t>
      </w:r>
    </w:p>
    <w:p w:rsidR="00AB7884" w:rsidRDefault="00AB7884">
      <w:pPr>
        <w:tabs>
          <w:tab w:val="left" w:pos="284"/>
        </w:tabs>
        <w:autoSpaceDE w:val="0"/>
        <w:autoSpaceDN w:val="0"/>
        <w:adjustRightInd w:val="0"/>
        <w:rPr>
          <w:b/>
          <w:bCs/>
          <w:color w:val="000000"/>
          <w:sz w:val="22"/>
          <w:szCs w:val="22"/>
          <w:lang w:val="en-US"/>
        </w:rPr>
      </w:pPr>
    </w:p>
    <w:p w:rsidR="00AB7884" w:rsidRDefault="00AB7884">
      <w:pPr>
        <w:spacing w:before="120" w:after="120"/>
        <w:rPr>
          <w:rFonts w:ascii="Trebuchet MS" w:hAnsi="Trebuchet MS" w:cs="Trebuchet MS"/>
          <w:b/>
          <w:bCs/>
          <w:color w:val="000000"/>
          <w:sz w:val="22"/>
          <w:szCs w:val="22"/>
          <w:lang w:val="en-US"/>
        </w:rPr>
      </w:pPr>
      <w:r>
        <w:rPr>
          <w:rFonts w:ascii="Trebuchet MS" w:hAnsi="Trebuchet MS" w:cs="Trebuchet MS"/>
          <w:b/>
          <w:bCs/>
          <w:color w:val="000000"/>
          <w:sz w:val="22"/>
          <w:szCs w:val="22"/>
          <w:lang w:val="en-US"/>
        </w:rPr>
        <w:t>Figure 2.2.8 Fast food consumption in selected countries (1995 and 1999)</w:t>
      </w:r>
    </w:p>
    <w:p w:rsidR="00AB7884" w:rsidRDefault="00717A10">
      <w:pPr>
        <w:autoSpaceDE w:val="0"/>
        <w:autoSpaceDN w:val="0"/>
        <w:adjustRightInd w:val="0"/>
        <w:rPr>
          <w:color w:val="000000"/>
          <w:sz w:val="22"/>
          <w:szCs w:val="22"/>
          <w:lang w:val="en-US"/>
        </w:rPr>
      </w:pPr>
      <w:r w:rsidRPr="00717A10">
        <w:rPr>
          <w:rFonts w:ascii="Trebuchet MS" w:hAnsi="Trebuchet MS" w:cs="Trebuchet MS"/>
          <w:noProof/>
          <w:sz w:val="28"/>
          <w:szCs w:val="28"/>
          <w:lang w:val="en-ZA" w:eastAsia="en-ZA"/>
        </w:rPr>
        <w:pict>
          <v:shape id="Picture 13" o:spid="_x0000_i1061" type="#_x0000_t75" style="width:415.5pt;height:290.25pt;visibility:visible">
            <v:imagedata r:id="rId40" o:title=""/>
          </v:shape>
        </w:pict>
      </w:r>
    </w:p>
    <w:p w:rsidR="00AB7884" w:rsidRDefault="00AB7884">
      <w:pPr>
        <w:autoSpaceDE w:val="0"/>
        <w:autoSpaceDN w:val="0"/>
        <w:adjustRightInd w:val="0"/>
        <w:spacing w:before="120" w:after="120"/>
        <w:rPr>
          <w:rFonts w:ascii="Trebuchet MS" w:hAnsi="Trebuchet MS" w:cs="Trebuchet MS"/>
          <w:b/>
          <w:bCs/>
          <w:noProof/>
          <w:sz w:val="22"/>
          <w:szCs w:val="22"/>
          <w:lang w:val="en-ZA" w:eastAsia="en-ZA"/>
        </w:rPr>
      </w:pPr>
      <w:r>
        <w:rPr>
          <w:rFonts w:ascii="Trebuchet MS" w:hAnsi="Trebuchet MS" w:cs="Trebuchet MS"/>
          <w:b/>
          <w:bCs/>
          <w:noProof/>
          <w:sz w:val="22"/>
          <w:szCs w:val="22"/>
          <w:lang w:val="en-ZA" w:eastAsia="en-ZA"/>
        </w:rPr>
        <w:br w:type="page"/>
      </w:r>
      <w:r>
        <w:rPr>
          <w:rFonts w:ascii="Trebuchet MS" w:hAnsi="Trebuchet MS" w:cs="Trebuchet MS"/>
          <w:b/>
          <w:bCs/>
          <w:noProof/>
          <w:sz w:val="22"/>
          <w:szCs w:val="22"/>
          <w:lang w:val="en-ZA" w:eastAsia="en-ZA"/>
        </w:rPr>
        <w:lastRenderedPageBreak/>
        <w:t>The growth of supermarkets</w:t>
      </w:r>
    </w:p>
    <w:p w:rsidR="00AB7884" w:rsidRDefault="00AB7884">
      <w:pPr>
        <w:autoSpaceDE w:val="0"/>
        <w:autoSpaceDN w:val="0"/>
        <w:adjustRightInd w:val="0"/>
        <w:rPr>
          <w:sz w:val="22"/>
          <w:szCs w:val="22"/>
        </w:rPr>
      </w:pPr>
      <w:r>
        <w:rPr>
          <w:noProof/>
          <w:sz w:val="22"/>
          <w:szCs w:val="22"/>
          <w:lang w:val="en-ZA" w:eastAsia="en-ZA"/>
        </w:rPr>
        <w:t>From 1994 onwards there was also the</w:t>
      </w:r>
      <w:r>
        <w:rPr>
          <w:sz w:val="22"/>
          <w:szCs w:val="22"/>
        </w:rPr>
        <w:t xml:space="preserve"> rapid growth in the distribution of processed food via supermarkets, which today share at least 50–60% of food sales in South Africa. Between 1990 and 1999, foreign direct investment (FDI) from US-based transnational (TNC) supermarkets increased from $4 billion to $13 billion. </w:t>
      </w:r>
    </w:p>
    <w:p w:rsidR="00AB7884" w:rsidRDefault="00AB7884">
      <w:pPr>
        <w:autoSpaceDE w:val="0"/>
        <w:autoSpaceDN w:val="0"/>
        <w:adjustRightInd w:val="0"/>
        <w:rPr>
          <w:sz w:val="22"/>
          <w:szCs w:val="22"/>
        </w:rPr>
      </w:pPr>
    </w:p>
    <w:p w:rsidR="00AB7884" w:rsidRDefault="00AB7884">
      <w:pPr>
        <w:autoSpaceDE w:val="0"/>
        <w:autoSpaceDN w:val="0"/>
        <w:adjustRightInd w:val="0"/>
        <w:spacing w:after="200"/>
        <w:rPr>
          <w:sz w:val="22"/>
          <w:szCs w:val="22"/>
        </w:rPr>
      </w:pPr>
      <w:r>
        <w:rPr>
          <w:sz w:val="22"/>
          <w:szCs w:val="22"/>
        </w:rPr>
        <w:t xml:space="preserve">Supermarkets began to expand from urban areas and from the high end of the food retail sector, into low-income urban and rural areas, in order to capture the new ‘emerging markets’. These new markets have attracted foreign investment and advertising from TNC food companies; and this has increased the incentive for supermarkets to sell cheap, processed, high fat, high sugar and salt-laden food from around the world. </w:t>
      </w:r>
    </w:p>
    <w:p w:rsidR="00AB7884" w:rsidRDefault="00AB7884">
      <w:pPr>
        <w:autoSpaceDE w:val="0"/>
        <w:autoSpaceDN w:val="0"/>
        <w:adjustRightInd w:val="0"/>
        <w:spacing w:after="200"/>
        <w:rPr>
          <w:sz w:val="22"/>
          <w:szCs w:val="22"/>
        </w:rPr>
      </w:pPr>
      <w:r>
        <w:rPr>
          <w:sz w:val="22"/>
          <w:szCs w:val="22"/>
        </w:rPr>
        <w:t>Although supermarkets stock healthy food and claim to offer food variety, these healthier options are not prominently displayed or aggressively marketed, and they generally cost more than the unhealthier options. For example:</w:t>
      </w:r>
    </w:p>
    <w:p w:rsidR="00AB7884" w:rsidRDefault="00AB7884" w:rsidP="007F44B4">
      <w:pPr>
        <w:pStyle w:val="ListParagraph"/>
        <w:numPr>
          <w:ilvl w:val="0"/>
          <w:numId w:val="20"/>
        </w:numPr>
        <w:autoSpaceDE w:val="0"/>
        <w:autoSpaceDN w:val="0"/>
        <w:adjustRightInd w:val="0"/>
        <w:spacing w:after="200"/>
        <w:rPr>
          <w:sz w:val="22"/>
          <w:szCs w:val="22"/>
        </w:rPr>
      </w:pPr>
      <w:r>
        <w:rPr>
          <w:sz w:val="22"/>
          <w:szCs w:val="22"/>
        </w:rPr>
        <w:t xml:space="preserve">In 2009, a study of supermarkets in rural South Africa showed that healthier foods typically cost between 10% and 60% more when compared on a weight basis (Rand per 100 g) and between 30% and 110% more when compared on a cost per food energy basis (Rand per 100 Kj). These higher prices put pressure on low-income people in rural areas to consume unhealthy diets (Temple, et al, 2010). </w:t>
      </w:r>
    </w:p>
    <w:p w:rsidR="00AB7884" w:rsidRDefault="00AB7884" w:rsidP="007F44B4">
      <w:pPr>
        <w:pStyle w:val="ListParagraph"/>
        <w:numPr>
          <w:ilvl w:val="0"/>
          <w:numId w:val="20"/>
        </w:numPr>
        <w:autoSpaceDE w:val="0"/>
        <w:autoSpaceDN w:val="0"/>
        <w:adjustRightInd w:val="0"/>
        <w:spacing w:before="120" w:after="120"/>
        <w:ind w:left="357" w:hanging="357"/>
        <w:rPr>
          <w:sz w:val="22"/>
          <w:szCs w:val="22"/>
        </w:rPr>
      </w:pPr>
      <w:r>
        <w:rPr>
          <w:sz w:val="22"/>
          <w:szCs w:val="22"/>
        </w:rPr>
        <w:t xml:space="preserve">A recent study found that 82% of all food promotions in supermarkets were for unhealthy foods, and that children are the main target audience. As children are more susceptible to the influence of advertising and promotion, the globalised nature of supermarket food may affect their eating behaviours more quickly than adults’ habits (Hu 2008).   </w:t>
      </w:r>
      <w:r>
        <w:rPr>
          <w:sz w:val="22"/>
          <w:szCs w:val="22"/>
        </w:rPr>
        <w:br/>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06"/>
      </w:tblGrid>
      <w:tr w:rsidR="00AB7884" w:rsidRPr="0034040D">
        <w:tc>
          <w:tcPr>
            <w:tcW w:w="7970" w:type="dxa"/>
          </w:tcPr>
          <w:p w:rsidR="00AB7884" w:rsidRPr="0034040D" w:rsidRDefault="00AB7884">
            <w:pPr>
              <w:spacing w:before="12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t xml:space="preserve">TASK 3 </w:t>
            </w:r>
            <w:r w:rsidRPr="0034040D">
              <w:rPr>
                <w:rFonts w:ascii="Calibri" w:eastAsiaTheme="minorEastAsia" w:hAnsi="Calibri" w:cs="Calibri"/>
                <w:b/>
                <w:bCs/>
                <w:sz w:val="22"/>
                <w:szCs w:val="22"/>
                <w:lang w:val="en-ZA"/>
              </w:rPr>
              <w:t>-</w:t>
            </w:r>
            <w:r w:rsidRPr="0034040D">
              <w:rPr>
                <w:rFonts w:ascii="Trebuchet MS" w:eastAsiaTheme="minorEastAsia" w:hAnsi="Trebuchet MS" w:cs="Trebuchet MS"/>
                <w:b/>
                <w:bCs/>
                <w:sz w:val="22"/>
                <w:szCs w:val="22"/>
                <w:lang w:val="en-ZA"/>
              </w:rPr>
              <w:t xml:space="preserve"> Critically assess the effect of trade liberalisation on food security</w:t>
            </w:r>
          </w:p>
          <w:tbl>
            <w:tblPr>
              <w:tblpPr w:leftFromText="180" w:rightFromText="180" w:vertAnchor="text" w:horzAnchor="margin" w:tblpY="113"/>
              <w:tblOverlap w:val="neve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6640"/>
            </w:tblGrid>
            <w:tr w:rsidR="00AB7884" w:rsidRPr="0034040D">
              <w:trPr>
                <w:trHeight w:val="963"/>
              </w:trPr>
              <w:tc>
                <w:tcPr>
                  <w:tcW w:w="1440" w:type="dxa"/>
                  <w:tcBorders>
                    <w:top w:val="single" w:sz="4" w:space="0" w:color="auto"/>
                    <w:left w:val="single" w:sz="4" w:space="0" w:color="auto"/>
                    <w:bottom w:val="single" w:sz="4" w:space="0" w:color="auto"/>
                    <w:right w:val="single" w:sz="4" w:space="0" w:color="auto"/>
                  </w:tcBorders>
                </w:tcPr>
                <w:p w:rsidR="00AB7884" w:rsidRPr="0034040D" w:rsidRDefault="00717A10">
                  <w:pPr>
                    <w:spacing w:before="120" w:after="120"/>
                    <w:rPr>
                      <w:rFonts w:ascii="Trebuchet MS" w:eastAsiaTheme="minorEastAsia" w:hAnsi="Trebuchet MS" w:cs="Trebuchet MS"/>
                      <w:b/>
                      <w:bCs/>
                    </w:rPr>
                  </w:pPr>
                  <w:r w:rsidRPr="00717A10">
                    <w:rPr>
                      <w:rFonts w:ascii="Trebuchet MS" w:eastAsiaTheme="minorEastAsia" w:hAnsi="Trebuchet MS" w:cs="Trebuchet MS"/>
                    </w:rPr>
                    <w:pict>
                      <v:shape id="_x0000_i1062" type="#_x0000_t75" style="width:51pt;height:63pt" filled="t" fillcolor="silver">
                        <v:imagedata r:id="rId10" o:title=""/>
                      </v:shape>
                    </w:pict>
                  </w:r>
                </w:p>
              </w:tc>
              <w:tc>
                <w:tcPr>
                  <w:tcW w:w="6640" w:type="dxa"/>
                  <w:tcBorders>
                    <w:top w:val="single" w:sz="4" w:space="0" w:color="auto"/>
                    <w:left w:val="single" w:sz="4" w:space="0" w:color="auto"/>
                    <w:bottom w:val="single" w:sz="4" w:space="0" w:color="auto"/>
                    <w:right w:val="single" w:sz="4" w:space="0" w:color="auto"/>
                  </w:tcBorders>
                </w:tcPr>
                <w:p w:rsidR="00AB7884" w:rsidRPr="0034040D" w:rsidRDefault="00AB7884">
                  <w:pPr>
                    <w:pStyle w:val="EndnoteText"/>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DVD Resource</w:t>
                  </w:r>
                </w:p>
                <w:p w:rsidR="00AB7884" w:rsidRPr="0034040D" w:rsidRDefault="00AB7884">
                  <w:pPr>
                    <w:rPr>
                      <w:rFonts w:ascii="Trebuchet MS" w:eastAsiaTheme="minorEastAsia" w:hAnsi="Trebuchet MS" w:cs="Trebuchet MS"/>
                      <w:sz w:val="22"/>
                      <w:szCs w:val="22"/>
                    </w:rPr>
                  </w:pPr>
                  <w:r w:rsidRPr="0034040D">
                    <w:rPr>
                      <w:rFonts w:ascii="Trebuchet MS" w:eastAsiaTheme="minorEastAsia" w:hAnsi="Trebuchet MS" w:cs="Trebuchet MS"/>
                      <w:sz w:val="22"/>
                      <w:szCs w:val="22"/>
                      <w:lang w:val="en-US"/>
                    </w:rPr>
                    <w:t xml:space="preserve">People’s Health Movement, Medact &amp; Global Equity Gauge Alliance. (2008). Reflections on globalization, trade, food and health. </w:t>
                  </w:r>
                  <w:r w:rsidRPr="0034040D">
                    <w:rPr>
                      <w:rFonts w:ascii="Trebuchet MS" w:eastAsiaTheme="minorEastAsia" w:hAnsi="Trebuchet MS" w:cs="Trebuchet MS"/>
                      <w:i/>
                      <w:iCs/>
                      <w:sz w:val="22"/>
                      <w:szCs w:val="22"/>
                      <w:lang w:val="en-US"/>
                    </w:rPr>
                    <w:t xml:space="preserve">Global Health Watch </w:t>
                  </w:r>
                  <w:r w:rsidRPr="00591724">
                    <w:rPr>
                      <w:rFonts w:ascii="Trebuchet MS" w:eastAsiaTheme="minorEastAsia" w:hAnsi="Trebuchet MS" w:cs="Trebuchet MS"/>
                      <w:i/>
                      <w:iCs/>
                      <w:sz w:val="28"/>
                      <w:szCs w:val="28"/>
                      <w:lang w:val="en-US"/>
                    </w:rPr>
                    <w:t>2</w:t>
                  </w:r>
                  <w:r w:rsidRPr="0034040D">
                    <w:rPr>
                      <w:rFonts w:ascii="Trebuchet MS" w:eastAsiaTheme="minorEastAsia" w:hAnsi="Trebuchet MS" w:cs="Trebuchet MS"/>
                      <w:i/>
                      <w:iCs/>
                      <w:sz w:val="22"/>
                      <w:szCs w:val="22"/>
                      <w:lang w:val="en-US"/>
                    </w:rPr>
                    <w:t>: An alternative World Health Report</w:t>
                  </w:r>
                  <w:r w:rsidRPr="0034040D">
                    <w:rPr>
                      <w:rFonts w:ascii="Trebuchet MS" w:eastAsiaTheme="minorEastAsia" w:hAnsi="Trebuchet MS" w:cs="Trebuchet MS"/>
                      <w:sz w:val="22"/>
                      <w:szCs w:val="22"/>
                      <w:lang w:val="en-US"/>
                    </w:rPr>
                    <w:t>, Zed Books: London, New York</w:t>
                  </w:r>
                  <w:r w:rsidR="00591724">
                    <w:rPr>
                      <w:rFonts w:ascii="Trebuchet MS" w:eastAsiaTheme="minorEastAsia" w:hAnsi="Trebuchet MS" w:cs="Trebuchet MS"/>
                      <w:sz w:val="22"/>
                      <w:szCs w:val="22"/>
                      <w:lang w:val="en-US"/>
                    </w:rPr>
                    <w:t>:</w:t>
                  </w:r>
                  <w:r w:rsidRPr="0034040D">
                    <w:rPr>
                      <w:rFonts w:ascii="Trebuchet MS" w:eastAsiaTheme="minorEastAsia" w:hAnsi="Trebuchet MS" w:cs="Trebuchet MS"/>
                      <w:sz w:val="22"/>
                      <w:szCs w:val="22"/>
                      <w:lang w:val="en-US"/>
                    </w:rPr>
                    <w:t xml:space="preserve"> 126</w:t>
                  </w:r>
                  <w:r w:rsidR="000112F7">
                    <w:rPr>
                      <w:rFonts w:ascii="Trebuchet MS" w:eastAsiaTheme="minorEastAsia" w:hAnsi="Trebuchet MS" w:cs="Trebuchet MS"/>
                      <w:sz w:val="22"/>
                      <w:szCs w:val="22"/>
                      <w:lang w:val="en-US"/>
                    </w:rPr>
                    <w:t>-</w:t>
                  </w:r>
                  <w:r w:rsidRPr="0034040D">
                    <w:rPr>
                      <w:rFonts w:ascii="Trebuchet MS" w:eastAsiaTheme="minorEastAsia" w:hAnsi="Trebuchet MS" w:cs="Trebuchet MS"/>
                      <w:sz w:val="22"/>
                      <w:szCs w:val="22"/>
                      <w:lang w:val="en-US"/>
                    </w:rPr>
                    <w:t>139.</w:t>
                  </w:r>
                  <w:r w:rsidR="00591724">
                    <w:rPr>
                      <w:rFonts w:ascii="Trebuchet MS" w:eastAsiaTheme="minorEastAsia" w:hAnsi="Trebuchet MS" w:cs="Trebuchet MS"/>
                      <w:sz w:val="22"/>
                      <w:szCs w:val="22"/>
                      <w:lang w:val="en-US"/>
                    </w:rPr>
                    <w:t>[See DVD].</w:t>
                  </w:r>
                </w:p>
                <w:p w:rsidR="00AB7884" w:rsidRPr="0034040D" w:rsidRDefault="00AB7884">
                  <w:pPr>
                    <w:rPr>
                      <w:rFonts w:ascii="Trebuchet MS" w:eastAsiaTheme="minorEastAsia" w:hAnsi="Trebuchet MS" w:cs="Trebuchet MS"/>
                      <w:sz w:val="22"/>
                      <w:szCs w:val="22"/>
                    </w:rPr>
                  </w:pPr>
                </w:p>
              </w:tc>
            </w:tr>
          </w:tbl>
          <w:p w:rsidR="00AB7884" w:rsidRPr="0034040D" w:rsidRDefault="00AB7884">
            <w:pPr>
              <w:spacing w:before="24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t xml:space="preserve">READING </w:t>
            </w:r>
          </w:p>
          <w:p w:rsidR="00AB7884" w:rsidRPr="0034040D" w:rsidRDefault="00AB7884">
            <w:pPr>
              <w:rPr>
                <w:rFonts w:ascii="Trebuchet MS" w:eastAsiaTheme="minorEastAsia" w:hAnsi="Trebuchet MS" w:cs="Trebuchet MS"/>
                <w:sz w:val="22"/>
                <w:szCs w:val="22"/>
                <w:lang w:val="en-US"/>
              </w:rPr>
            </w:pP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Read the above chapter and then answers these questions:</w:t>
            </w:r>
          </w:p>
          <w:p w:rsidR="00AB7884" w:rsidRPr="0034040D" w:rsidRDefault="00AB7884" w:rsidP="007F44B4">
            <w:pPr>
              <w:numPr>
                <w:ilvl w:val="0"/>
                <w:numId w:val="26"/>
              </w:numPr>
              <w:autoSpaceDE w:val="0"/>
              <w:autoSpaceDN w:val="0"/>
              <w:adjustRightInd w:val="0"/>
              <w:ind w:left="36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Which economic policies were promoted as being the solution to global food insecurity and food-related health problems?</w:t>
            </w:r>
          </w:p>
          <w:p w:rsidR="00AB7884" w:rsidRPr="0034040D" w:rsidRDefault="00AB7884" w:rsidP="007F44B4">
            <w:pPr>
              <w:numPr>
                <w:ilvl w:val="0"/>
                <w:numId w:val="26"/>
              </w:numPr>
              <w:autoSpaceDE w:val="0"/>
              <w:autoSpaceDN w:val="0"/>
              <w:adjustRightInd w:val="0"/>
              <w:ind w:left="36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What was the focus of policy development in agriculture? What were the consequences of this for food trade?</w:t>
            </w:r>
          </w:p>
          <w:p w:rsidR="00AB7884" w:rsidRPr="0034040D" w:rsidRDefault="00AB7884" w:rsidP="007F44B4">
            <w:pPr>
              <w:numPr>
                <w:ilvl w:val="0"/>
                <w:numId w:val="26"/>
              </w:numPr>
              <w:autoSpaceDE w:val="0"/>
              <w:autoSpaceDN w:val="0"/>
              <w:adjustRightInd w:val="0"/>
              <w:ind w:left="360"/>
              <w:rPr>
                <w:rFonts w:ascii="Trebuchet MS" w:eastAsiaTheme="minorEastAsia" w:hAnsi="Trebuchet MS" w:cs="Trebuchet MS"/>
                <w:sz w:val="22"/>
                <w:szCs w:val="22"/>
                <w:lang w:val="en-US"/>
              </w:rPr>
            </w:pPr>
            <w:r w:rsidRPr="0034040D">
              <w:rPr>
                <w:rFonts w:ascii="Trebuchet MS" w:eastAsiaTheme="minorEastAsia" w:hAnsi="Trebuchet MS" w:cs="Trebuchet MS"/>
                <w:sz w:val="22"/>
                <w:szCs w:val="22"/>
                <w:lang w:val="en-ZA"/>
              </w:rPr>
              <w:t>Briefly describe the three waves in which TNCs developed.</w:t>
            </w:r>
          </w:p>
          <w:p w:rsidR="00AB7884" w:rsidRPr="0034040D" w:rsidRDefault="00AB7884" w:rsidP="007F44B4">
            <w:pPr>
              <w:numPr>
                <w:ilvl w:val="0"/>
                <w:numId w:val="26"/>
              </w:numPr>
              <w:autoSpaceDE w:val="0"/>
              <w:autoSpaceDN w:val="0"/>
              <w:adjustRightInd w:val="0"/>
              <w:ind w:left="36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 xml:space="preserve">What has been the impact of globalisation policies and processes on food-related health? </w:t>
            </w:r>
          </w:p>
          <w:p w:rsidR="00AB7884" w:rsidRPr="0034040D" w:rsidRDefault="00AB7884">
            <w:pPr>
              <w:autoSpaceDE w:val="0"/>
              <w:autoSpaceDN w:val="0"/>
              <w:adjustRightInd w:val="0"/>
              <w:spacing w:after="120"/>
              <w:rPr>
                <w:rFonts w:ascii="Trebuchet MS" w:eastAsiaTheme="minorEastAsia" w:hAnsi="Trebuchet MS" w:cs="Trebuchet MS"/>
                <w:b/>
                <w:bCs/>
                <w:sz w:val="22"/>
                <w:szCs w:val="22"/>
                <w:lang w:val="en-ZA"/>
              </w:rPr>
            </w:pPr>
            <w:r w:rsidRPr="0034040D">
              <w:rPr>
                <w:rFonts w:ascii="Trebuchet MS" w:eastAsiaTheme="minorEastAsia" w:hAnsi="Trebuchet MS" w:cs="Trebuchet MS"/>
                <w:sz w:val="22"/>
                <w:szCs w:val="22"/>
                <w:lang w:val="en-ZA"/>
              </w:rPr>
              <w:t xml:space="preserve"> </w:t>
            </w:r>
          </w:p>
        </w:tc>
      </w:tr>
    </w:tbl>
    <w:p w:rsidR="00AB7884" w:rsidRDefault="00AB7884">
      <w:pPr>
        <w:spacing w:before="240" w:after="120"/>
        <w:rPr>
          <w:rFonts w:ascii="Trebuchet MS" w:hAnsi="Trebuchet MS" w:cs="Trebuchet MS"/>
          <w:b/>
          <w:bCs/>
          <w:sz w:val="22"/>
          <w:szCs w:val="22"/>
          <w:lang w:val="en-ZA"/>
        </w:rPr>
      </w:pPr>
      <w:r>
        <w:rPr>
          <w:rFonts w:ascii="Trebuchet MS" w:hAnsi="Trebuchet MS" w:cs="Trebuchet MS"/>
          <w:b/>
          <w:bCs/>
          <w:sz w:val="22"/>
          <w:szCs w:val="22"/>
          <w:lang w:val="en-ZA"/>
        </w:rPr>
        <w:lastRenderedPageBreak/>
        <w:t>FEEDBACK</w:t>
      </w:r>
    </w:p>
    <w:p w:rsidR="00AB7884" w:rsidRDefault="00AB7884" w:rsidP="007F44B4">
      <w:pPr>
        <w:pStyle w:val="ListParagraph"/>
        <w:numPr>
          <w:ilvl w:val="0"/>
          <w:numId w:val="24"/>
        </w:numPr>
        <w:spacing w:after="200" w:line="276" w:lineRule="auto"/>
        <w:rPr>
          <w:sz w:val="22"/>
          <w:szCs w:val="22"/>
          <w:lang w:val="en-ZA"/>
        </w:rPr>
      </w:pPr>
      <w:r>
        <w:rPr>
          <w:sz w:val="22"/>
          <w:szCs w:val="22"/>
          <w:lang w:val="en-ZA"/>
        </w:rPr>
        <w:t xml:space="preserve">Your answer should include some of the following policies: </w:t>
      </w:r>
      <w:r>
        <w:rPr>
          <w:sz w:val="22"/>
          <w:szCs w:val="22"/>
          <w:lang w:val="en-ZA"/>
        </w:rPr>
        <w:br/>
        <w:t>privatisation and liberalisation of the agricultural sector</w:t>
      </w:r>
    </w:p>
    <w:p w:rsidR="00AB7884" w:rsidRDefault="00AB7884" w:rsidP="007F44B4">
      <w:pPr>
        <w:pStyle w:val="ListParagraph"/>
        <w:numPr>
          <w:ilvl w:val="0"/>
          <w:numId w:val="21"/>
        </w:numPr>
        <w:autoSpaceDE w:val="0"/>
        <w:autoSpaceDN w:val="0"/>
        <w:adjustRightInd w:val="0"/>
        <w:rPr>
          <w:color w:val="000000"/>
        </w:rPr>
      </w:pPr>
      <w:r>
        <w:rPr>
          <w:sz w:val="22"/>
          <w:szCs w:val="22"/>
          <w:lang w:val="en-ZA"/>
        </w:rPr>
        <w:t>open trade and export-led growth to lower production costs and food prices, prevent fluctuations in food supply, produce a system that is more responsive to market demands and more capable of producing different kinds of food to improve diets</w:t>
      </w:r>
    </w:p>
    <w:p w:rsidR="00AB7884" w:rsidRDefault="00AB7884" w:rsidP="007F44B4">
      <w:pPr>
        <w:pStyle w:val="ListParagraph"/>
        <w:numPr>
          <w:ilvl w:val="0"/>
          <w:numId w:val="21"/>
        </w:numPr>
        <w:autoSpaceDE w:val="0"/>
        <w:autoSpaceDN w:val="0"/>
        <w:adjustRightInd w:val="0"/>
        <w:rPr>
          <w:sz w:val="22"/>
          <w:szCs w:val="22"/>
        </w:rPr>
      </w:pPr>
      <w:r>
        <w:rPr>
          <w:sz w:val="22"/>
          <w:szCs w:val="22"/>
          <w:lang w:val="en-ZA"/>
        </w:rPr>
        <w:t>international agreements on food standards to ensure greater food safety systems to reduce foodborne diseases.</w:t>
      </w:r>
      <w:r>
        <w:rPr>
          <w:sz w:val="22"/>
          <w:szCs w:val="22"/>
          <w:lang w:val="en-ZA"/>
        </w:rPr>
        <w:br/>
      </w:r>
    </w:p>
    <w:p w:rsidR="00AB7884" w:rsidRDefault="00AB7884" w:rsidP="007F44B4">
      <w:pPr>
        <w:pStyle w:val="ListParagraph"/>
        <w:numPr>
          <w:ilvl w:val="0"/>
          <w:numId w:val="24"/>
        </w:numPr>
        <w:autoSpaceDE w:val="0"/>
        <w:autoSpaceDN w:val="0"/>
        <w:adjustRightInd w:val="0"/>
        <w:rPr>
          <w:sz w:val="22"/>
          <w:szCs w:val="22"/>
        </w:rPr>
      </w:pPr>
      <w:r>
        <w:rPr>
          <w:sz w:val="22"/>
          <w:szCs w:val="22"/>
          <w:lang w:val="en-ZA"/>
        </w:rPr>
        <w:t>Regional, bilateral and multi-lateral free-trade agreements became the focus of policy development. For example:</w:t>
      </w:r>
      <w:r>
        <w:rPr>
          <w:sz w:val="22"/>
          <w:szCs w:val="22"/>
          <w:lang w:val="en-ZA"/>
        </w:rPr>
        <w:br/>
      </w:r>
    </w:p>
    <w:p w:rsidR="00AB7884" w:rsidRDefault="00AB7884" w:rsidP="007F44B4">
      <w:pPr>
        <w:pStyle w:val="ListParagraph"/>
        <w:numPr>
          <w:ilvl w:val="0"/>
          <w:numId w:val="18"/>
        </w:numPr>
        <w:autoSpaceDE w:val="0"/>
        <w:autoSpaceDN w:val="0"/>
        <w:adjustRightInd w:val="0"/>
        <w:rPr>
          <w:sz w:val="22"/>
          <w:szCs w:val="22"/>
        </w:rPr>
      </w:pPr>
      <w:r>
        <w:rPr>
          <w:sz w:val="22"/>
          <w:szCs w:val="22"/>
        </w:rPr>
        <w:t xml:space="preserve">The growth of foreign direct investment (FDI) via bilateral investment treaties. Globally these increased from 181 in 1980 to 2 495 in 2005 (UNCTAD, 2000; 2006). </w:t>
      </w:r>
    </w:p>
    <w:p w:rsidR="00AB7884" w:rsidRDefault="00AB7884" w:rsidP="007F44B4">
      <w:pPr>
        <w:pStyle w:val="ListParagraph"/>
        <w:numPr>
          <w:ilvl w:val="0"/>
          <w:numId w:val="18"/>
        </w:numPr>
        <w:autoSpaceDE w:val="0"/>
        <w:autoSpaceDN w:val="0"/>
        <w:adjustRightInd w:val="0"/>
        <w:rPr>
          <w:sz w:val="22"/>
          <w:szCs w:val="22"/>
        </w:rPr>
      </w:pPr>
      <w:r>
        <w:rPr>
          <w:sz w:val="22"/>
          <w:szCs w:val="22"/>
        </w:rPr>
        <w:t xml:space="preserve">The Agreement on Agriculture (1994) pledged countries to open markets by reducing tariffs, non-tariff barriers, export subsidies and domestic agricultural support. </w:t>
      </w:r>
    </w:p>
    <w:p w:rsidR="00AB7884" w:rsidRDefault="00AB7884" w:rsidP="007F44B4">
      <w:pPr>
        <w:pStyle w:val="ListParagraph"/>
        <w:numPr>
          <w:ilvl w:val="0"/>
          <w:numId w:val="18"/>
        </w:numPr>
        <w:autoSpaceDE w:val="0"/>
        <w:autoSpaceDN w:val="0"/>
        <w:adjustRightInd w:val="0"/>
        <w:rPr>
          <w:sz w:val="22"/>
          <w:szCs w:val="22"/>
        </w:rPr>
      </w:pPr>
      <w:r>
        <w:rPr>
          <w:sz w:val="22"/>
          <w:szCs w:val="22"/>
        </w:rPr>
        <w:t>The Agreement on Application of Sanitary and Phytosanitary Measures (SPS) further reduced trade barriers by adopting equivalent food safety standards.</w:t>
      </w:r>
    </w:p>
    <w:p w:rsidR="00AB7884" w:rsidRDefault="00AB7884" w:rsidP="007F44B4">
      <w:pPr>
        <w:pStyle w:val="ListParagraph"/>
        <w:numPr>
          <w:ilvl w:val="0"/>
          <w:numId w:val="18"/>
        </w:numPr>
        <w:autoSpaceDE w:val="0"/>
        <w:autoSpaceDN w:val="0"/>
        <w:adjustRightInd w:val="0"/>
        <w:rPr>
          <w:sz w:val="22"/>
          <w:szCs w:val="22"/>
        </w:rPr>
      </w:pPr>
      <w:r>
        <w:rPr>
          <w:sz w:val="22"/>
          <w:szCs w:val="22"/>
        </w:rPr>
        <w:t xml:space="preserve">The Technical Barriers to Trade Agreement ensured that national regulations, voluntary standards, and other policies would not impede trade. </w:t>
      </w:r>
    </w:p>
    <w:p w:rsidR="00AB7884" w:rsidRDefault="00AB7884" w:rsidP="007F44B4">
      <w:pPr>
        <w:pStyle w:val="ListParagraph"/>
        <w:numPr>
          <w:ilvl w:val="0"/>
          <w:numId w:val="18"/>
        </w:numPr>
        <w:autoSpaceDE w:val="0"/>
        <w:autoSpaceDN w:val="0"/>
        <w:adjustRightInd w:val="0"/>
        <w:rPr>
          <w:sz w:val="22"/>
          <w:szCs w:val="22"/>
        </w:rPr>
      </w:pPr>
      <w:r>
        <w:rPr>
          <w:sz w:val="22"/>
          <w:szCs w:val="22"/>
          <w:lang w:val="en-ZA"/>
        </w:rPr>
        <w:t>The Agreement on Trade-Related Aspects of Intellectual property Rights (TRIPS) including expanding</w:t>
      </w:r>
      <w:r>
        <w:rPr>
          <w:sz w:val="22"/>
          <w:szCs w:val="22"/>
        </w:rPr>
        <w:t xml:space="preserve"> the scope of private property rights on food products, including patents on seeds. </w:t>
      </w:r>
    </w:p>
    <w:p w:rsidR="00AB7884" w:rsidRDefault="00AB7884">
      <w:pPr>
        <w:autoSpaceDE w:val="0"/>
        <w:autoSpaceDN w:val="0"/>
        <w:adjustRightInd w:val="0"/>
        <w:rPr>
          <w:sz w:val="22"/>
          <w:szCs w:val="22"/>
          <w:lang w:val="en-ZA"/>
        </w:rPr>
      </w:pPr>
    </w:p>
    <w:p w:rsidR="00AB7884" w:rsidRDefault="00AB7884">
      <w:pPr>
        <w:autoSpaceDE w:val="0"/>
        <w:autoSpaceDN w:val="0"/>
        <w:adjustRightInd w:val="0"/>
        <w:rPr>
          <w:sz w:val="22"/>
          <w:szCs w:val="22"/>
          <w:lang w:val="en-ZA"/>
        </w:rPr>
      </w:pPr>
      <w:r>
        <w:rPr>
          <w:sz w:val="22"/>
          <w:szCs w:val="22"/>
          <w:lang w:val="en-ZA"/>
        </w:rPr>
        <w:t>These agreements changed the pattern of the food trade:</w:t>
      </w:r>
      <w:r>
        <w:rPr>
          <w:sz w:val="22"/>
          <w:szCs w:val="22"/>
          <w:lang w:val="en-ZA"/>
        </w:rPr>
        <w:br/>
      </w:r>
    </w:p>
    <w:p w:rsidR="00AB7884" w:rsidRDefault="00AB7884" w:rsidP="007F44B4">
      <w:pPr>
        <w:pStyle w:val="ListParagraph"/>
        <w:numPr>
          <w:ilvl w:val="0"/>
          <w:numId w:val="22"/>
        </w:numPr>
        <w:autoSpaceDE w:val="0"/>
        <w:autoSpaceDN w:val="0"/>
        <w:adjustRightInd w:val="0"/>
        <w:rPr>
          <w:sz w:val="22"/>
          <w:szCs w:val="22"/>
          <w:lang w:val="en-ZA"/>
        </w:rPr>
      </w:pPr>
      <w:r>
        <w:rPr>
          <w:sz w:val="22"/>
          <w:szCs w:val="22"/>
          <w:lang w:val="en-ZA"/>
        </w:rPr>
        <w:t>food imports into developing countries increased</w:t>
      </w:r>
    </w:p>
    <w:p w:rsidR="00AB7884" w:rsidRDefault="00AB7884" w:rsidP="007F44B4">
      <w:pPr>
        <w:pStyle w:val="ListParagraph"/>
        <w:numPr>
          <w:ilvl w:val="0"/>
          <w:numId w:val="22"/>
        </w:numPr>
        <w:autoSpaceDE w:val="0"/>
        <w:autoSpaceDN w:val="0"/>
        <w:adjustRightInd w:val="0"/>
        <w:rPr>
          <w:sz w:val="22"/>
          <w:szCs w:val="22"/>
          <w:lang w:val="en-ZA"/>
        </w:rPr>
      </w:pPr>
      <w:r>
        <w:rPr>
          <w:sz w:val="22"/>
          <w:szCs w:val="22"/>
          <w:lang w:val="en-ZA"/>
        </w:rPr>
        <w:t>high-value food exports from developing countries increased</w:t>
      </w:r>
    </w:p>
    <w:p w:rsidR="00AB7884" w:rsidRDefault="00AB7884" w:rsidP="007F44B4">
      <w:pPr>
        <w:pStyle w:val="ListParagraph"/>
        <w:numPr>
          <w:ilvl w:val="0"/>
          <w:numId w:val="22"/>
        </w:numPr>
        <w:autoSpaceDE w:val="0"/>
        <w:autoSpaceDN w:val="0"/>
        <w:adjustRightInd w:val="0"/>
        <w:rPr>
          <w:sz w:val="22"/>
          <w:szCs w:val="22"/>
          <w:lang w:val="en-ZA"/>
        </w:rPr>
      </w:pPr>
      <w:r>
        <w:rPr>
          <w:sz w:val="22"/>
          <w:szCs w:val="22"/>
          <w:lang w:val="en-ZA"/>
        </w:rPr>
        <w:t xml:space="preserve">the rate of trade between different foodstuffs varied significantly – trade in processed foodstuffs increased mainly because of increased exports from developed countries. FDI led to the formation of food-related transnational corporations (TNCs).  </w:t>
      </w:r>
    </w:p>
    <w:p w:rsidR="00AB7884" w:rsidRDefault="00AB7884">
      <w:pPr>
        <w:pStyle w:val="ListParagraph"/>
        <w:autoSpaceDE w:val="0"/>
        <w:autoSpaceDN w:val="0"/>
        <w:adjustRightInd w:val="0"/>
        <w:rPr>
          <w:sz w:val="22"/>
          <w:szCs w:val="22"/>
          <w:lang w:val="en-ZA"/>
        </w:rPr>
      </w:pPr>
    </w:p>
    <w:p w:rsidR="00AB7884" w:rsidRDefault="00AB7884" w:rsidP="007F44B4">
      <w:pPr>
        <w:pStyle w:val="ListParagraph"/>
        <w:numPr>
          <w:ilvl w:val="0"/>
          <w:numId w:val="24"/>
        </w:numPr>
        <w:autoSpaceDE w:val="0"/>
        <w:autoSpaceDN w:val="0"/>
        <w:adjustRightInd w:val="0"/>
        <w:rPr>
          <w:sz w:val="22"/>
          <w:szCs w:val="22"/>
          <w:lang w:val="en-ZA"/>
        </w:rPr>
      </w:pPr>
      <w:r>
        <w:rPr>
          <w:sz w:val="22"/>
          <w:szCs w:val="22"/>
          <w:lang w:val="en-ZA"/>
        </w:rPr>
        <w:t xml:space="preserve">1960s–70s: Agribusiness invested abroad in trading and processing raw commodities for export; and then expanded into different processing activities, foods and regions. </w:t>
      </w:r>
      <w:r>
        <w:rPr>
          <w:sz w:val="22"/>
          <w:szCs w:val="22"/>
          <w:lang w:val="en-ZA"/>
        </w:rPr>
        <w:br/>
        <w:t xml:space="preserve">1980s: Expansion into manufacturing of highly processed foods. </w:t>
      </w:r>
      <w:r>
        <w:rPr>
          <w:sz w:val="22"/>
          <w:szCs w:val="22"/>
          <w:lang w:val="en-ZA"/>
        </w:rPr>
        <w:br/>
        <w:t xml:space="preserve">1990s onwards: Expansion into supermarkets (especially into developing countries). </w:t>
      </w:r>
    </w:p>
    <w:p w:rsidR="00AB7884" w:rsidRDefault="00AB7884" w:rsidP="007F44B4">
      <w:pPr>
        <w:pStyle w:val="ListParagraph"/>
        <w:numPr>
          <w:ilvl w:val="0"/>
          <w:numId w:val="24"/>
        </w:numPr>
        <w:autoSpaceDE w:val="0"/>
        <w:autoSpaceDN w:val="0"/>
        <w:adjustRightInd w:val="0"/>
        <w:rPr>
          <w:sz w:val="22"/>
          <w:szCs w:val="22"/>
          <w:lang w:val="en-ZA"/>
        </w:rPr>
      </w:pPr>
      <w:r>
        <w:rPr>
          <w:sz w:val="22"/>
          <w:szCs w:val="22"/>
          <w:lang w:val="en-ZA"/>
        </w:rPr>
        <w:t>You should have included a discussion about how globalisation policies, processes, regulations and standards have been uneven and context-specific – dependent on the balance between production, imports and exports. However, on the whole, globalisation has not lived up to its promise of providing healthy and safe food for all. In the words of the authors, today “too many people are still suffering from under-nutrition; foodborne disease is only becoming a more serious problem; the burden of obesity and diet-related chronic disease is ever greater” (page 137).</w:t>
      </w:r>
    </w:p>
    <w:tbl>
      <w:tblPr>
        <w:tblW w:w="83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4"/>
      </w:tblGrid>
      <w:tr w:rsidR="000112F7" w:rsidRPr="0034040D" w:rsidTr="00FF4C6B">
        <w:trPr>
          <w:trHeight w:val="963"/>
        </w:trPr>
        <w:tc>
          <w:tcPr>
            <w:tcW w:w="8364" w:type="dxa"/>
          </w:tcPr>
          <w:p w:rsidR="000112F7" w:rsidRPr="00FF4C6B" w:rsidRDefault="00FF4C6B">
            <w:pPr>
              <w:pStyle w:val="EndnoteText"/>
              <w:spacing w:before="120" w:after="120"/>
              <w:rPr>
                <w:rFonts w:ascii="Trebuchet MS" w:eastAsiaTheme="minorEastAsia" w:hAnsi="Trebuchet MS" w:cs="Trebuchet MS"/>
                <w:b/>
                <w:bCs/>
              </w:rPr>
            </w:pPr>
            <w:r>
              <w:rPr>
                <w:rFonts w:ascii="Trebuchet MS" w:eastAsiaTheme="minorEastAsia" w:hAnsi="Trebuchet MS" w:cs="Trebuchet MS"/>
                <w:b/>
                <w:bCs/>
              </w:rPr>
              <w:lastRenderedPageBreak/>
              <w:t>Film</w:t>
            </w:r>
            <w:r w:rsidR="000112F7" w:rsidRPr="00FF4C6B">
              <w:rPr>
                <w:rFonts w:ascii="Trebuchet MS" w:eastAsiaTheme="minorEastAsia" w:hAnsi="Trebuchet MS" w:cs="Trebuchet MS"/>
                <w:b/>
                <w:bCs/>
              </w:rPr>
              <w:t xml:space="preserve">  worth seeing</w:t>
            </w:r>
          </w:p>
          <w:p w:rsidR="000112F7" w:rsidRPr="00FF4C6B" w:rsidRDefault="000112F7">
            <w:pPr>
              <w:rPr>
                <w:rFonts w:ascii="Trebuchet MS" w:eastAsiaTheme="minorEastAsia" w:hAnsi="Trebuchet MS" w:cs="Trebuchet MS"/>
              </w:rPr>
            </w:pPr>
            <w:r w:rsidRPr="00FF4C6B">
              <w:rPr>
                <w:rFonts w:ascii="Trebuchet MS" w:eastAsiaTheme="minorEastAsia" w:hAnsi="Trebuchet MS" w:cs="Trebuchet MS"/>
                <w:i/>
                <w:iCs/>
              </w:rPr>
              <w:t>Food Inc</w:t>
            </w:r>
            <w:r w:rsidRPr="00FF4C6B">
              <w:rPr>
                <w:rFonts w:ascii="Trebuchet MS" w:eastAsiaTheme="minorEastAsia" w:hAnsi="Trebuchet MS" w:cs="Trebuchet MS"/>
              </w:rPr>
              <w:t>. Robert Kenner. Magnolia Pictures. Participant Media &amp; River Road Entertainment.</w:t>
            </w:r>
          </w:p>
          <w:p w:rsidR="000112F7" w:rsidRPr="00FF4C6B" w:rsidRDefault="000112F7">
            <w:pPr>
              <w:rPr>
                <w:rFonts w:ascii="Trebuchet MS" w:eastAsiaTheme="minorEastAsia" w:hAnsi="Trebuchet MS" w:cs="Trebuchet MS"/>
              </w:rPr>
            </w:pPr>
          </w:p>
          <w:p w:rsidR="000112F7" w:rsidRPr="0034040D" w:rsidRDefault="000112F7">
            <w:pPr>
              <w:spacing w:after="120"/>
              <w:rPr>
                <w:rFonts w:ascii="Trebuchet MS" w:eastAsiaTheme="minorEastAsia" w:hAnsi="Trebuchet MS" w:cs="Trebuchet MS"/>
                <w:b/>
                <w:bCs/>
                <w:sz w:val="22"/>
                <w:szCs w:val="22"/>
              </w:rPr>
            </w:pPr>
            <w:r w:rsidRPr="00FF4C6B">
              <w:rPr>
                <w:rFonts w:ascii="Trebuchet MS" w:eastAsiaTheme="minorEastAsia" w:hAnsi="Trebuchet MS" w:cs="Trebuchet MS"/>
              </w:rPr>
              <w:t>The above documentary provides an in-depth examination into the global food supply chain.</w:t>
            </w:r>
            <w:r w:rsidRPr="0034040D">
              <w:rPr>
                <w:rFonts w:ascii="Times New Roman" w:eastAsiaTheme="minorEastAsia" w:hAnsi="Times New Roman" w:cs="Times New Roman"/>
                <w:sz w:val="22"/>
                <w:szCs w:val="22"/>
              </w:rPr>
              <w:t xml:space="preserve"> </w:t>
            </w:r>
          </w:p>
        </w:tc>
      </w:tr>
    </w:tbl>
    <w:p w:rsidR="00AB7884" w:rsidRDefault="00AB7884">
      <w:pPr>
        <w:autoSpaceDE w:val="0"/>
        <w:autoSpaceDN w:val="0"/>
        <w:adjustRightInd w:val="0"/>
        <w:rPr>
          <w:rFonts w:ascii="Trebuchet MS" w:hAnsi="Trebuchet MS" w:cs="Trebuchet MS"/>
          <w:sz w:val="22"/>
          <w:szCs w:val="22"/>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96"/>
      </w:tblGrid>
      <w:tr w:rsidR="00AB7884" w:rsidRPr="0034040D" w:rsidTr="009F5DC2">
        <w:tc>
          <w:tcPr>
            <w:tcW w:w="8296" w:type="dxa"/>
          </w:tcPr>
          <w:p w:rsidR="00AB7884" w:rsidRPr="0034040D" w:rsidRDefault="00AB7884">
            <w:pPr>
              <w:spacing w:before="12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t xml:space="preserve">TASK 4 </w:t>
            </w:r>
            <w:r w:rsidRPr="0034040D">
              <w:rPr>
                <w:rFonts w:ascii="Times New Roman" w:eastAsiaTheme="minorEastAsia" w:hAnsi="Times New Roman" w:cs="Times New Roman"/>
                <w:b/>
                <w:bCs/>
                <w:sz w:val="22"/>
                <w:szCs w:val="22"/>
                <w:lang w:val="en-ZA"/>
              </w:rPr>
              <w:t>─</w:t>
            </w:r>
            <w:r w:rsidRPr="0034040D">
              <w:rPr>
                <w:rFonts w:ascii="Trebuchet MS" w:eastAsiaTheme="minorEastAsia" w:hAnsi="Trebuchet MS" w:cs="Trebuchet MS"/>
                <w:b/>
                <w:bCs/>
                <w:sz w:val="22"/>
                <w:szCs w:val="22"/>
                <w:lang w:val="en-ZA"/>
              </w:rPr>
              <w:t xml:space="preserve"> Critically assess the effect of trade liberalisation on food security</w:t>
            </w:r>
          </w:p>
          <w:p w:rsidR="00AB7884" w:rsidRPr="0034040D" w:rsidRDefault="00AB7884">
            <w:pPr>
              <w:spacing w:before="24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t xml:space="preserve">READING </w:t>
            </w:r>
          </w:p>
          <w:p w:rsidR="00AB7884" w:rsidRPr="0034040D" w:rsidRDefault="00AB7884">
            <w:pPr>
              <w:autoSpaceDE w:val="0"/>
              <w:autoSpaceDN w:val="0"/>
              <w:adjustRightInd w:val="0"/>
              <w:rPr>
                <w:rFonts w:ascii="Trebuchet MS" w:eastAsiaTheme="minorEastAsia" w:hAnsi="Trebuchet MS" w:cs="Trebuchet MS"/>
                <w:sz w:val="22"/>
                <w:szCs w:val="22"/>
                <w:lang w:val="en-US"/>
              </w:rPr>
            </w:pPr>
            <w:r w:rsidRPr="0034040D">
              <w:rPr>
                <w:rFonts w:ascii="Trebuchet MS" w:eastAsiaTheme="minorEastAsia" w:hAnsi="Trebuchet MS" w:cs="Trebuchet MS"/>
                <w:sz w:val="22"/>
                <w:szCs w:val="22"/>
                <w:lang w:val="en-US"/>
              </w:rPr>
              <w:t>People’s Health Movement, Medact</w:t>
            </w:r>
            <w:r w:rsidRPr="0034040D">
              <w:rPr>
                <w:rFonts w:ascii="Trebuchet MS" w:eastAsiaTheme="minorEastAsia" w:hAnsi="Trebuchet MS" w:cs="Trebuchet MS"/>
                <w:sz w:val="22"/>
                <w:szCs w:val="22"/>
                <w:lang w:val="en-ZA" w:eastAsia="en-ZA"/>
              </w:rPr>
              <w:t>, Health Action International, Medicos International and Third World Network.</w:t>
            </w:r>
            <w:r w:rsidRPr="0034040D">
              <w:rPr>
                <w:rFonts w:ascii="Trebuchet MS" w:eastAsiaTheme="minorEastAsia" w:hAnsi="Trebuchet MS" w:cs="Trebuchet MS"/>
                <w:sz w:val="22"/>
                <w:szCs w:val="22"/>
                <w:lang w:val="en-US"/>
              </w:rPr>
              <w:t xml:space="preserve"> (2011). The global food crisis. </w:t>
            </w:r>
            <w:r w:rsidRPr="0034040D">
              <w:rPr>
                <w:rFonts w:ascii="Trebuchet MS" w:eastAsiaTheme="minorEastAsia" w:hAnsi="Trebuchet MS" w:cs="Trebuchet MS"/>
                <w:i/>
                <w:iCs/>
                <w:sz w:val="22"/>
                <w:szCs w:val="22"/>
                <w:lang w:val="en-US"/>
              </w:rPr>
              <w:t xml:space="preserve">Global Health Watch </w:t>
            </w:r>
            <w:r w:rsidRPr="00FF4C6B">
              <w:rPr>
                <w:rFonts w:ascii="Trebuchet MS" w:eastAsiaTheme="minorEastAsia" w:hAnsi="Trebuchet MS" w:cs="Trebuchet MS"/>
                <w:b/>
                <w:iCs/>
                <w:sz w:val="28"/>
                <w:szCs w:val="28"/>
                <w:lang w:val="en-US"/>
              </w:rPr>
              <w:t>3</w:t>
            </w:r>
            <w:r w:rsidRPr="0034040D">
              <w:rPr>
                <w:rFonts w:ascii="Trebuchet MS" w:eastAsiaTheme="minorEastAsia" w:hAnsi="Trebuchet MS" w:cs="Trebuchet MS"/>
                <w:i/>
                <w:iCs/>
                <w:sz w:val="22"/>
                <w:szCs w:val="22"/>
                <w:lang w:val="en-US"/>
              </w:rPr>
              <w:t>: An Alternative World Health Report</w:t>
            </w:r>
            <w:r w:rsidRPr="0034040D">
              <w:rPr>
                <w:rFonts w:ascii="Trebuchet MS" w:eastAsiaTheme="minorEastAsia" w:hAnsi="Trebuchet MS" w:cs="Trebuchet MS"/>
                <w:sz w:val="22"/>
                <w:szCs w:val="22"/>
                <w:lang w:val="en-US"/>
              </w:rPr>
              <w:t>, Zed Books: London, New York: 165-177 [See DVD].</w:t>
            </w:r>
          </w:p>
          <w:p w:rsidR="00AB7884" w:rsidRPr="0034040D" w:rsidRDefault="00AB7884">
            <w:pPr>
              <w:rPr>
                <w:rFonts w:ascii="Trebuchet MS" w:eastAsiaTheme="minorEastAsia" w:hAnsi="Trebuchet MS" w:cs="Trebuchet MS"/>
                <w:sz w:val="22"/>
                <w:szCs w:val="22"/>
                <w:lang w:val="en-US"/>
              </w:rPr>
            </w:pPr>
          </w:p>
          <w:p w:rsidR="00AB7884" w:rsidRPr="0034040D" w:rsidRDefault="00AB7884">
            <w:pPr>
              <w:autoSpaceDE w:val="0"/>
              <w:autoSpaceDN w:val="0"/>
              <w:adjustRightInd w:val="0"/>
              <w:spacing w:after="12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After reading the above chapter, decide whether this statement is true or false. Back-up your opinion with reasons:</w:t>
            </w:r>
          </w:p>
          <w:p w:rsidR="00AB7884" w:rsidRPr="0034040D" w:rsidRDefault="00AB7884">
            <w:pPr>
              <w:spacing w:before="12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sz w:val="22"/>
                <w:szCs w:val="22"/>
                <w:lang w:val="en-ZA"/>
              </w:rPr>
              <w:t>Global demand and supply food imbalances have resulted in global food shortages and high food prices which have had a devastating effect on billions of people especially the poor in the developing world.</w:t>
            </w:r>
          </w:p>
        </w:tc>
      </w:tr>
    </w:tbl>
    <w:p w:rsidR="00AB7884" w:rsidRDefault="00AB7884">
      <w:pPr>
        <w:autoSpaceDE w:val="0"/>
        <w:autoSpaceDN w:val="0"/>
        <w:adjustRightInd w:val="0"/>
        <w:spacing w:before="240" w:after="120"/>
        <w:rPr>
          <w:rFonts w:ascii="Trebuchet MS" w:hAnsi="Trebuchet MS" w:cs="Trebuchet MS"/>
          <w:b/>
          <w:bCs/>
          <w:sz w:val="22"/>
          <w:szCs w:val="22"/>
        </w:rPr>
      </w:pPr>
      <w:r>
        <w:rPr>
          <w:rFonts w:ascii="Trebuchet MS" w:hAnsi="Trebuchet MS" w:cs="Trebuchet MS"/>
          <w:b/>
          <w:bCs/>
          <w:sz w:val="22"/>
          <w:szCs w:val="22"/>
        </w:rPr>
        <w:t>FEEDBACK</w:t>
      </w:r>
    </w:p>
    <w:p w:rsidR="00AB7884" w:rsidRDefault="00AB7884">
      <w:pPr>
        <w:autoSpaceDE w:val="0"/>
        <w:autoSpaceDN w:val="0"/>
        <w:adjustRightInd w:val="0"/>
        <w:spacing w:after="120"/>
        <w:rPr>
          <w:sz w:val="22"/>
          <w:szCs w:val="22"/>
        </w:rPr>
      </w:pPr>
      <w:r>
        <w:rPr>
          <w:sz w:val="22"/>
          <w:szCs w:val="22"/>
        </w:rPr>
        <w:t xml:space="preserve">Answers may differ, but should include the following points:  </w:t>
      </w:r>
    </w:p>
    <w:p w:rsidR="00AB7884" w:rsidRDefault="00AB7884" w:rsidP="007F44B4">
      <w:pPr>
        <w:numPr>
          <w:ilvl w:val="0"/>
          <w:numId w:val="42"/>
        </w:numPr>
        <w:autoSpaceDE w:val="0"/>
        <w:autoSpaceDN w:val="0"/>
        <w:adjustRightInd w:val="0"/>
        <w:rPr>
          <w:color w:val="000000"/>
          <w:sz w:val="22"/>
          <w:szCs w:val="22"/>
          <w:lang w:val="en-ZA"/>
        </w:rPr>
      </w:pPr>
      <w:r>
        <w:rPr>
          <w:sz w:val="22"/>
          <w:szCs w:val="22"/>
        </w:rPr>
        <w:t xml:space="preserve">The forces of global supply and demand have played some role, but this has not been the main reason for the global food crisis. </w:t>
      </w:r>
      <w:r>
        <w:rPr>
          <w:color w:val="000000"/>
          <w:sz w:val="22"/>
          <w:szCs w:val="22"/>
          <w:lang w:val="en-ZA"/>
        </w:rPr>
        <w:t xml:space="preserve">The root cause of the nutrition crisis is widespread extreme poverty and inequality. </w:t>
      </w:r>
    </w:p>
    <w:p w:rsidR="00AB7884" w:rsidRDefault="00AB7884" w:rsidP="007F44B4">
      <w:pPr>
        <w:numPr>
          <w:ilvl w:val="0"/>
          <w:numId w:val="42"/>
        </w:numPr>
        <w:autoSpaceDE w:val="0"/>
        <w:autoSpaceDN w:val="0"/>
        <w:adjustRightInd w:val="0"/>
        <w:rPr>
          <w:color w:val="000000"/>
          <w:sz w:val="22"/>
          <w:szCs w:val="22"/>
          <w:lang w:val="en-ZA"/>
        </w:rPr>
      </w:pPr>
      <w:r>
        <w:rPr>
          <w:sz w:val="22"/>
          <w:szCs w:val="22"/>
        </w:rPr>
        <w:t>M</w:t>
      </w:r>
      <w:r>
        <w:rPr>
          <w:color w:val="000000"/>
          <w:sz w:val="22"/>
          <w:szCs w:val="22"/>
          <w:lang w:val="en-ZA"/>
        </w:rPr>
        <w:t>acro-economic factors, such as the liberalisation of trade and financial markets, have negatively impacted on livelihoods, removing domestic protection for small-scale farmers in developing countries who cannot compete with the cheaper imports brought in by the highly-subsidised Big Farma industries from developed countries.</w:t>
      </w:r>
    </w:p>
    <w:p w:rsidR="00AB7884" w:rsidRDefault="00AB7884" w:rsidP="007F44B4">
      <w:pPr>
        <w:numPr>
          <w:ilvl w:val="0"/>
          <w:numId w:val="42"/>
        </w:numPr>
        <w:autoSpaceDE w:val="0"/>
        <w:autoSpaceDN w:val="0"/>
        <w:adjustRightInd w:val="0"/>
        <w:rPr>
          <w:color w:val="000000"/>
          <w:sz w:val="22"/>
          <w:szCs w:val="22"/>
          <w:lang w:val="en-ZA"/>
        </w:rPr>
      </w:pPr>
      <w:r>
        <w:rPr>
          <w:color w:val="000000"/>
          <w:sz w:val="22"/>
          <w:szCs w:val="22"/>
          <w:lang w:val="en-ZA"/>
        </w:rPr>
        <w:t xml:space="preserve">The global food crisis is integrally tied up with the global economic crisis which has driven up the price of oil and input. </w:t>
      </w:r>
    </w:p>
    <w:p w:rsidR="00AB7884" w:rsidRDefault="00AB7884" w:rsidP="007F44B4">
      <w:pPr>
        <w:numPr>
          <w:ilvl w:val="0"/>
          <w:numId w:val="42"/>
        </w:numPr>
        <w:autoSpaceDE w:val="0"/>
        <w:autoSpaceDN w:val="0"/>
        <w:adjustRightInd w:val="0"/>
        <w:rPr>
          <w:color w:val="000000"/>
          <w:sz w:val="22"/>
          <w:szCs w:val="22"/>
          <w:lang w:val="en-ZA"/>
        </w:rPr>
      </w:pPr>
      <w:r>
        <w:rPr>
          <w:color w:val="000000"/>
          <w:sz w:val="22"/>
          <w:szCs w:val="22"/>
          <w:lang w:val="en-ZA"/>
        </w:rPr>
        <w:t>The globalisation of the food system and food supply chain has influenced food availability, accessibility, price and food choices.</w:t>
      </w:r>
    </w:p>
    <w:p w:rsidR="00AB7884" w:rsidRDefault="00AB7884" w:rsidP="007F44B4">
      <w:pPr>
        <w:numPr>
          <w:ilvl w:val="0"/>
          <w:numId w:val="42"/>
        </w:numPr>
        <w:autoSpaceDE w:val="0"/>
        <w:autoSpaceDN w:val="0"/>
        <w:adjustRightInd w:val="0"/>
        <w:rPr>
          <w:color w:val="000000"/>
          <w:sz w:val="22"/>
          <w:szCs w:val="22"/>
          <w:lang w:val="en-ZA"/>
        </w:rPr>
      </w:pPr>
      <w:r>
        <w:rPr>
          <w:color w:val="000000"/>
          <w:sz w:val="22"/>
          <w:szCs w:val="22"/>
          <w:lang w:val="en-ZA"/>
        </w:rPr>
        <w:t xml:space="preserve">Land grabs have displaced small scale farmers and have resulted in a crisis in food supply as crops for nutrition are neglected in favour of crops for profit – such as for corn and soy (used in junk foods or for biofuels). </w:t>
      </w:r>
    </w:p>
    <w:p w:rsidR="00AB7884" w:rsidRDefault="00AB7884" w:rsidP="007F44B4">
      <w:pPr>
        <w:numPr>
          <w:ilvl w:val="0"/>
          <w:numId w:val="42"/>
        </w:numPr>
        <w:autoSpaceDE w:val="0"/>
        <w:autoSpaceDN w:val="0"/>
        <w:adjustRightInd w:val="0"/>
        <w:rPr>
          <w:color w:val="000000"/>
          <w:sz w:val="22"/>
          <w:szCs w:val="22"/>
          <w:lang w:val="en-ZA"/>
        </w:rPr>
      </w:pPr>
      <w:r>
        <w:rPr>
          <w:color w:val="000000"/>
          <w:sz w:val="22"/>
          <w:szCs w:val="22"/>
          <w:lang w:val="en-ZA"/>
        </w:rPr>
        <w:t xml:space="preserve">Climate change has also impacted on poor harvests of food crops. </w:t>
      </w:r>
    </w:p>
    <w:p w:rsidR="00AB7884" w:rsidRDefault="00AB7884" w:rsidP="007F44B4">
      <w:pPr>
        <w:numPr>
          <w:ilvl w:val="0"/>
          <w:numId w:val="42"/>
        </w:numPr>
        <w:autoSpaceDE w:val="0"/>
        <w:autoSpaceDN w:val="0"/>
        <w:adjustRightInd w:val="0"/>
        <w:rPr>
          <w:color w:val="000000"/>
          <w:sz w:val="22"/>
          <w:szCs w:val="22"/>
          <w:lang w:val="en-ZA"/>
        </w:rPr>
      </w:pPr>
      <w:r>
        <w:rPr>
          <w:color w:val="000000"/>
          <w:sz w:val="22"/>
          <w:szCs w:val="22"/>
          <w:lang w:val="en-ZA"/>
        </w:rPr>
        <w:t xml:space="preserve">Financial speculation has been a primary factor behind excessive price volatility displayed by specific commodities such as food grains and crops. </w:t>
      </w:r>
    </w:p>
    <w:p w:rsidR="00AB7884" w:rsidRDefault="00AB7884">
      <w:pPr>
        <w:autoSpaceDE w:val="0"/>
        <w:autoSpaceDN w:val="0"/>
        <w:adjustRightInd w:val="0"/>
        <w:spacing w:before="240" w:after="120"/>
        <w:rPr>
          <w:rFonts w:ascii="Trebuchet MS" w:hAnsi="Trebuchet MS" w:cs="Trebuchet MS"/>
          <w:b/>
          <w:bCs/>
          <w:sz w:val="22"/>
          <w:szCs w:val="22"/>
        </w:rPr>
      </w:pPr>
      <w:r>
        <w:rPr>
          <w:rFonts w:ascii="Trebuchet MS" w:hAnsi="Trebuchet MS" w:cs="Trebuchet MS"/>
          <w:b/>
          <w:bCs/>
          <w:sz w:val="22"/>
          <w:szCs w:val="22"/>
        </w:rPr>
        <w:t>Where does South Africa sit in terms of the global food trade?</w:t>
      </w:r>
    </w:p>
    <w:p w:rsidR="00AB7884" w:rsidRDefault="00AB7884">
      <w:pPr>
        <w:autoSpaceDE w:val="0"/>
        <w:autoSpaceDN w:val="0"/>
        <w:adjustRightInd w:val="0"/>
        <w:spacing w:before="120" w:after="120"/>
        <w:rPr>
          <w:sz w:val="22"/>
          <w:szCs w:val="22"/>
        </w:rPr>
      </w:pPr>
      <w:r>
        <w:rPr>
          <w:sz w:val="22"/>
          <w:szCs w:val="22"/>
        </w:rPr>
        <w:t>Global integration and trade liberalisation has resulted in varying consequences for South African producers and consumers. Let’s take the South Africa-European Union (EU) Trade, Development and Co-operation Agreement (TDCA) as an example. According Greenberg (2000) in terms of this agreement:</w:t>
      </w:r>
    </w:p>
    <w:p w:rsidR="00AB7884" w:rsidRDefault="00AB7884" w:rsidP="007F44B4">
      <w:pPr>
        <w:pStyle w:val="ListParagraph"/>
        <w:numPr>
          <w:ilvl w:val="0"/>
          <w:numId w:val="17"/>
        </w:numPr>
        <w:autoSpaceDE w:val="0"/>
        <w:autoSpaceDN w:val="0"/>
        <w:adjustRightInd w:val="0"/>
        <w:rPr>
          <w:sz w:val="22"/>
          <w:szCs w:val="22"/>
        </w:rPr>
      </w:pPr>
      <w:r>
        <w:rPr>
          <w:sz w:val="22"/>
          <w:szCs w:val="22"/>
        </w:rPr>
        <w:lastRenderedPageBreak/>
        <w:t>South Africa exports 40% of its agricultural products to the EU, making this an important market for South African exporters. However, South African products account for only 2% of total EU imports.</w:t>
      </w:r>
    </w:p>
    <w:p w:rsidR="00AB7884" w:rsidRDefault="00AB7884" w:rsidP="007F44B4">
      <w:pPr>
        <w:pStyle w:val="ListParagraph"/>
        <w:numPr>
          <w:ilvl w:val="0"/>
          <w:numId w:val="17"/>
        </w:numPr>
        <w:autoSpaceDE w:val="0"/>
        <w:autoSpaceDN w:val="0"/>
        <w:adjustRightInd w:val="0"/>
        <w:rPr>
          <w:sz w:val="22"/>
          <w:szCs w:val="22"/>
        </w:rPr>
      </w:pPr>
      <w:r>
        <w:rPr>
          <w:sz w:val="22"/>
          <w:szCs w:val="22"/>
        </w:rPr>
        <w:t>The EU gives duty free access to 61% of these South African agricultural imports.</w:t>
      </w:r>
    </w:p>
    <w:p w:rsidR="00AB7884" w:rsidRDefault="00AB7884" w:rsidP="007F44B4">
      <w:pPr>
        <w:pStyle w:val="ListParagraph"/>
        <w:numPr>
          <w:ilvl w:val="0"/>
          <w:numId w:val="17"/>
        </w:numPr>
        <w:autoSpaceDE w:val="0"/>
        <w:autoSpaceDN w:val="0"/>
        <w:adjustRightInd w:val="0"/>
        <w:rPr>
          <w:sz w:val="22"/>
          <w:szCs w:val="22"/>
        </w:rPr>
      </w:pPr>
      <w:r>
        <w:rPr>
          <w:sz w:val="22"/>
          <w:szCs w:val="22"/>
        </w:rPr>
        <w:t>A further 13% of these South African agricultural products are subject to preferential tariff rates rather than full duty free access. The most lucrative of these exports are also subject to an EU quota system. They include canned fruit, fruit juice, dairy, cut flowers, wine and sparkling wine.</w:t>
      </w:r>
    </w:p>
    <w:p w:rsidR="00AB7884" w:rsidRDefault="00AB7884" w:rsidP="007F44B4">
      <w:pPr>
        <w:pStyle w:val="ListParagraph"/>
        <w:numPr>
          <w:ilvl w:val="0"/>
          <w:numId w:val="17"/>
        </w:numPr>
        <w:autoSpaceDE w:val="0"/>
        <w:autoSpaceDN w:val="0"/>
        <w:adjustRightInd w:val="0"/>
        <w:rPr>
          <w:sz w:val="22"/>
          <w:szCs w:val="22"/>
        </w:rPr>
      </w:pPr>
      <w:r>
        <w:rPr>
          <w:sz w:val="22"/>
          <w:szCs w:val="22"/>
        </w:rPr>
        <w:t xml:space="preserve">Approximately 26% of South Africa’s agricultural exports have been put on the EU ‘reserve list’. This means that they have been excluded from the agreement for now. </w:t>
      </w:r>
    </w:p>
    <w:p w:rsidR="00AB7884" w:rsidRDefault="00AB7884">
      <w:pPr>
        <w:pStyle w:val="ListParagraph"/>
        <w:autoSpaceDE w:val="0"/>
        <w:autoSpaceDN w:val="0"/>
        <w:adjustRightInd w:val="0"/>
        <w:rPr>
          <w:sz w:val="22"/>
          <w:szCs w:val="22"/>
        </w:rPr>
      </w:pPr>
    </w:p>
    <w:p w:rsidR="00AB7884" w:rsidRDefault="00AB7884">
      <w:pPr>
        <w:autoSpaceDE w:val="0"/>
        <w:autoSpaceDN w:val="0"/>
        <w:adjustRightInd w:val="0"/>
        <w:rPr>
          <w:sz w:val="22"/>
          <w:szCs w:val="22"/>
        </w:rPr>
      </w:pPr>
      <w:r>
        <w:rPr>
          <w:sz w:val="22"/>
          <w:szCs w:val="22"/>
        </w:rPr>
        <w:t xml:space="preserve">In contrast, according to the TDCA South Africa imports 20% of its agricultural products from the EU and provides duty free access to 83% of these. </w:t>
      </w:r>
    </w:p>
    <w:p w:rsidR="00AB7884" w:rsidRDefault="00AB7884">
      <w:pPr>
        <w:spacing w:before="100" w:beforeAutospacing="1" w:after="100" w:afterAutospacing="1"/>
        <w:rPr>
          <w:sz w:val="22"/>
          <w:szCs w:val="22"/>
        </w:rPr>
      </w:pPr>
      <w:r>
        <w:rPr>
          <w:sz w:val="22"/>
          <w:szCs w:val="22"/>
        </w:rPr>
        <w:t xml:space="preserve">So, the EU has greater liberalised access to the South African market for its agricultural products, than South Africa has to the EU market. However it is important to keep in mind that since 1994, as part of its re-entry into the global market, South Africa dismantled its agricultural subsidies and cut its agricultural tariffs as a way of making its exports more competitive. </w:t>
      </w:r>
      <w:r>
        <w:rPr>
          <w:sz w:val="22"/>
          <w:szCs w:val="22"/>
          <w:lang w:eastAsia="en-ZA"/>
        </w:rPr>
        <w:t xml:space="preserve">In contrast, to protect its export market the EU continued to subsidise its farmers rather than reduce its agricultural tariffs, and it chose to place </w:t>
      </w:r>
      <w:r>
        <w:rPr>
          <w:sz w:val="22"/>
          <w:szCs w:val="22"/>
        </w:rPr>
        <w:t xml:space="preserve">tariffs on South African canned fruit and vegetables. </w:t>
      </w:r>
    </w:p>
    <w:p w:rsidR="00AB7884" w:rsidRDefault="00AB7884">
      <w:pPr>
        <w:autoSpaceDE w:val="0"/>
        <w:autoSpaceDN w:val="0"/>
        <w:adjustRightInd w:val="0"/>
        <w:spacing w:before="100" w:beforeAutospacing="1" w:after="100" w:afterAutospacing="1"/>
        <w:rPr>
          <w:sz w:val="22"/>
          <w:szCs w:val="22"/>
        </w:rPr>
      </w:pPr>
      <w:r>
        <w:rPr>
          <w:sz w:val="22"/>
          <w:szCs w:val="22"/>
        </w:rPr>
        <w:t>In conclusion, the price of global integration and trade liberalisation has resulted in varying consequences. On the positive side, if we take China as an example, globalisation and liberalisation has enabled China to make immense improvements in both welfare and life expectancy. An interesting question is why Sub-Saharan Africa is lagging behind along both these dimensions?</w:t>
      </w:r>
    </w:p>
    <w:p w:rsidR="00AB7884" w:rsidRDefault="00AB7884">
      <w:pPr>
        <w:autoSpaceDE w:val="0"/>
        <w:autoSpaceDN w:val="0"/>
        <w:adjustRightInd w:val="0"/>
        <w:rPr>
          <w:sz w:val="22"/>
          <w:szCs w:val="22"/>
        </w:rPr>
      </w:pPr>
      <w:r>
        <w:rPr>
          <w:sz w:val="22"/>
          <w:szCs w:val="22"/>
        </w:rPr>
        <w:t>However, on the whole the following pattern has emerged:</w:t>
      </w:r>
    </w:p>
    <w:p w:rsidR="00AB7884" w:rsidRDefault="00AB7884">
      <w:pPr>
        <w:autoSpaceDE w:val="0"/>
        <w:autoSpaceDN w:val="0"/>
        <w:adjustRightInd w:val="0"/>
        <w:rPr>
          <w:sz w:val="22"/>
          <w:szCs w:val="22"/>
        </w:rPr>
      </w:pPr>
    </w:p>
    <w:p w:rsidR="00AB7884" w:rsidRDefault="00AB7884" w:rsidP="007F44B4">
      <w:pPr>
        <w:pStyle w:val="ListParagraph"/>
        <w:numPr>
          <w:ilvl w:val="0"/>
          <w:numId w:val="29"/>
        </w:numPr>
        <w:autoSpaceDE w:val="0"/>
        <w:autoSpaceDN w:val="0"/>
        <w:adjustRightInd w:val="0"/>
        <w:rPr>
          <w:sz w:val="22"/>
          <w:szCs w:val="22"/>
        </w:rPr>
      </w:pPr>
      <w:r>
        <w:rPr>
          <w:sz w:val="22"/>
          <w:szCs w:val="22"/>
        </w:rPr>
        <w:t xml:space="preserve">Food production has shifted to the North where many countries provide their farmers with high agricultural subsidies with which domestic producers in the South cannot compete. Food sovereignty in the South is therefore being undermined. </w:t>
      </w:r>
      <w:r>
        <w:rPr>
          <w:sz w:val="22"/>
          <w:szCs w:val="22"/>
        </w:rPr>
        <w:br/>
      </w:r>
    </w:p>
    <w:p w:rsidR="00AB7884" w:rsidRDefault="00AB7884">
      <w:pPr>
        <w:autoSpaceDE w:val="0"/>
        <w:autoSpaceDN w:val="0"/>
        <w:adjustRightInd w:val="0"/>
        <w:ind w:left="360"/>
        <w:rPr>
          <w:rFonts w:ascii="Trebuchet MS" w:hAnsi="Trebuchet MS" w:cs="Trebuchet MS"/>
          <w:sz w:val="22"/>
          <w:szCs w:val="22"/>
        </w:rPr>
      </w:pPr>
      <w:r>
        <w:rPr>
          <w:rFonts w:ascii="Trebuchet MS" w:hAnsi="Trebuchet MS" w:cs="Trebuchet MS"/>
          <w:i/>
          <w:iCs/>
          <w:sz w:val="22"/>
          <w:szCs w:val="22"/>
          <w:lang w:val="en-ZA" w:eastAsia="nb-NO"/>
        </w:rPr>
        <w:t xml:space="preserve">“Food is increasingly being considered as just another commodity and food security is now defined in terms of the market. Such a radical departure from one of the traditional functions of states– to be in control of food production so it can feed its population – has required a re-conceptualisation of the meaning of national food security” </w:t>
      </w:r>
      <w:r>
        <w:rPr>
          <w:rFonts w:ascii="Trebuchet MS" w:hAnsi="Trebuchet MS" w:cs="Trebuchet MS"/>
          <w:sz w:val="22"/>
          <w:szCs w:val="22"/>
          <w:lang w:val="en-ZA" w:eastAsia="nb-NO"/>
        </w:rPr>
        <w:t>(Devereux &amp; Maxwell, 2001, quoted in Chopra, 2004</w:t>
      </w:r>
      <w:r>
        <w:rPr>
          <w:rFonts w:ascii="Trebuchet MS" w:hAnsi="Trebuchet MS" w:cs="Trebuchet MS"/>
          <w:sz w:val="22"/>
          <w:szCs w:val="22"/>
        </w:rPr>
        <w:t>).</w:t>
      </w:r>
    </w:p>
    <w:p w:rsidR="00AB7884" w:rsidRDefault="00AB7884">
      <w:pPr>
        <w:autoSpaceDE w:val="0"/>
        <w:autoSpaceDN w:val="0"/>
        <w:adjustRightInd w:val="0"/>
        <w:ind w:left="1440"/>
        <w:rPr>
          <w:rFonts w:ascii="Trebuchet MS" w:hAnsi="Trebuchet MS" w:cs="Trebuchet MS"/>
          <w:color w:val="000000"/>
          <w:sz w:val="22"/>
          <w:szCs w:val="22"/>
          <w:lang w:val="en-ZA"/>
        </w:rPr>
      </w:pPr>
    </w:p>
    <w:p w:rsidR="00AB7884" w:rsidRDefault="00AB7884" w:rsidP="007F44B4">
      <w:pPr>
        <w:pStyle w:val="ListParagraph"/>
        <w:numPr>
          <w:ilvl w:val="0"/>
          <w:numId w:val="29"/>
        </w:numPr>
        <w:autoSpaceDE w:val="0"/>
        <w:autoSpaceDN w:val="0"/>
        <w:adjustRightInd w:val="0"/>
        <w:rPr>
          <w:color w:val="000000"/>
          <w:sz w:val="22"/>
          <w:szCs w:val="22"/>
          <w:lang w:val="en-ZA"/>
        </w:rPr>
      </w:pPr>
      <w:r>
        <w:rPr>
          <w:color w:val="000000"/>
          <w:sz w:val="22"/>
          <w:szCs w:val="22"/>
          <w:lang w:val="en-ZA"/>
        </w:rPr>
        <w:t xml:space="preserve">Food quality is compromised as better-quality fruit, meat and other products are exported to the North, and cheaper, low quality foods are imported into supermarkets in the developing world. </w:t>
      </w:r>
    </w:p>
    <w:p w:rsidR="00AB7884" w:rsidRDefault="00AB7884" w:rsidP="007F44B4">
      <w:pPr>
        <w:pStyle w:val="ListParagraph"/>
        <w:numPr>
          <w:ilvl w:val="0"/>
          <w:numId w:val="19"/>
        </w:numPr>
        <w:autoSpaceDE w:val="0"/>
        <w:autoSpaceDN w:val="0"/>
        <w:adjustRightInd w:val="0"/>
        <w:spacing w:before="100" w:beforeAutospacing="1" w:after="100" w:afterAutospacing="1"/>
        <w:rPr>
          <w:color w:val="000000"/>
          <w:sz w:val="22"/>
          <w:szCs w:val="22"/>
          <w:lang w:val="en-ZA"/>
        </w:rPr>
      </w:pPr>
      <w:r>
        <w:rPr>
          <w:sz w:val="22"/>
          <w:szCs w:val="22"/>
        </w:rPr>
        <w:t>Food availability varies, for example, in China per capita food supplies increased in the mid-2000s, while in Malawi they decreased (FAO, 2006).</w:t>
      </w:r>
    </w:p>
    <w:p w:rsidR="00AB7884" w:rsidRDefault="00AB7884" w:rsidP="007F44B4">
      <w:pPr>
        <w:pStyle w:val="ListParagraph"/>
        <w:numPr>
          <w:ilvl w:val="0"/>
          <w:numId w:val="19"/>
        </w:numPr>
        <w:autoSpaceDE w:val="0"/>
        <w:autoSpaceDN w:val="0"/>
        <w:adjustRightInd w:val="0"/>
        <w:spacing w:before="100" w:beforeAutospacing="1" w:after="100" w:afterAutospacing="1"/>
        <w:rPr>
          <w:color w:val="000000"/>
          <w:sz w:val="22"/>
          <w:szCs w:val="22"/>
          <w:lang w:val="en-ZA"/>
        </w:rPr>
      </w:pPr>
      <w:r>
        <w:rPr>
          <w:sz w:val="22"/>
          <w:szCs w:val="22"/>
          <w:lang w:val="en-ZA" w:eastAsia="en-ZA"/>
        </w:rPr>
        <w:br w:type="page"/>
      </w:r>
      <w:r>
        <w:rPr>
          <w:sz w:val="22"/>
          <w:szCs w:val="22"/>
          <w:lang w:val="en-ZA" w:eastAsia="en-ZA"/>
        </w:rPr>
        <w:lastRenderedPageBreak/>
        <w:t>In 2007 and 2008, the rising global food price of basics, like rice, wheat and maize, triggered riots in many countries. Prices are likely to become even more volatile in the next 20 years for a range of issues, such as</w:t>
      </w:r>
      <w:r>
        <w:rPr>
          <w:sz w:val="22"/>
          <w:szCs w:val="22"/>
        </w:rPr>
        <w:t>:</w:t>
      </w:r>
      <w:r>
        <w:rPr>
          <w:sz w:val="22"/>
          <w:szCs w:val="22"/>
        </w:rPr>
        <w:br/>
      </w:r>
    </w:p>
    <w:p w:rsidR="00AB7884" w:rsidRDefault="00AB7884" w:rsidP="007F44B4">
      <w:pPr>
        <w:pStyle w:val="ListParagraph"/>
        <w:numPr>
          <w:ilvl w:val="1"/>
          <w:numId w:val="19"/>
        </w:numPr>
        <w:autoSpaceDE w:val="0"/>
        <w:autoSpaceDN w:val="0"/>
        <w:adjustRightInd w:val="0"/>
        <w:spacing w:before="100" w:beforeAutospacing="1" w:after="100" w:afterAutospacing="1"/>
        <w:rPr>
          <w:color w:val="000000"/>
          <w:sz w:val="22"/>
          <w:szCs w:val="22"/>
          <w:lang w:val="en-ZA"/>
        </w:rPr>
      </w:pPr>
      <w:r>
        <w:rPr>
          <w:sz w:val="22"/>
          <w:szCs w:val="22"/>
        </w:rPr>
        <w:t>population growth</w:t>
      </w:r>
    </w:p>
    <w:p w:rsidR="00AB7884" w:rsidRDefault="00AB7884" w:rsidP="007F44B4">
      <w:pPr>
        <w:pStyle w:val="ListParagraph"/>
        <w:numPr>
          <w:ilvl w:val="1"/>
          <w:numId w:val="19"/>
        </w:numPr>
        <w:autoSpaceDE w:val="0"/>
        <w:autoSpaceDN w:val="0"/>
        <w:adjustRightInd w:val="0"/>
        <w:spacing w:before="100" w:beforeAutospacing="1" w:after="100" w:afterAutospacing="1"/>
        <w:rPr>
          <w:color w:val="000000"/>
          <w:sz w:val="22"/>
          <w:szCs w:val="22"/>
          <w:lang w:val="en-ZA"/>
        </w:rPr>
      </w:pPr>
      <w:r>
        <w:rPr>
          <w:sz w:val="22"/>
          <w:szCs w:val="22"/>
        </w:rPr>
        <w:t>consumption patterns and the demand for more varied diets in countries like India and China</w:t>
      </w:r>
    </w:p>
    <w:p w:rsidR="00AB7884" w:rsidRDefault="00AB7884" w:rsidP="007F44B4">
      <w:pPr>
        <w:pStyle w:val="ListParagraph"/>
        <w:numPr>
          <w:ilvl w:val="1"/>
          <w:numId w:val="19"/>
        </w:numPr>
        <w:autoSpaceDE w:val="0"/>
        <w:autoSpaceDN w:val="0"/>
        <w:adjustRightInd w:val="0"/>
        <w:spacing w:before="100" w:beforeAutospacing="1" w:after="100" w:afterAutospacing="1"/>
        <w:rPr>
          <w:color w:val="000000"/>
          <w:sz w:val="22"/>
          <w:szCs w:val="22"/>
          <w:lang w:val="en-ZA"/>
        </w:rPr>
      </w:pPr>
      <w:r>
        <w:rPr>
          <w:sz w:val="22"/>
          <w:szCs w:val="22"/>
        </w:rPr>
        <w:t>climate change which affects crop yields</w:t>
      </w:r>
    </w:p>
    <w:p w:rsidR="00AB7884" w:rsidRDefault="00AB7884" w:rsidP="007F44B4">
      <w:pPr>
        <w:pStyle w:val="ListParagraph"/>
        <w:numPr>
          <w:ilvl w:val="1"/>
          <w:numId w:val="19"/>
        </w:numPr>
        <w:autoSpaceDE w:val="0"/>
        <w:autoSpaceDN w:val="0"/>
        <w:adjustRightInd w:val="0"/>
        <w:spacing w:before="100" w:beforeAutospacing="1" w:after="100" w:afterAutospacing="1"/>
        <w:rPr>
          <w:color w:val="000000"/>
          <w:sz w:val="22"/>
          <w:szCs w:val="22"/>
          <w:lang w:val="en-ZA"/>
        </w:rPr>
      </w:pPr>
      <w:r>
        <w:rPr>
          <w:sz w:val="22"/>
          <w:szCs w:val="22"/>
        </w:rPr>
        <w:t xml:space="preserve">the diversion of food for biofuels </w:t>
      </w:r>
    </w:p>
    <w:p w:rsidR="00AB7884" w:rsidRDefault="00AB7884" w:rsidP="007F44B4">
      <w:pPr>
        <w:pStyle w:val="ListParagraph"/>
        <w:numPr>
          <w:ilvl w:val="1"/>
          <w:numId w:val="19"/>
        </w:numPr>
        <w:autoSpaceDE w:val="0"/>
        <w:autoSpaceDN w:val="0"/>
        <w:adjustRightInd w:val="0"/>
        <w:spacing w:before="100" w:beforeAutospacing="1" w:after="100" w:afterAutospacing="1"/>
        <w:rPr>
          <w:color w:val="000000"/>
          <w:sz w:val="22"/>
          <w:szCs w:val="22"/>
          <w:lang w:val="en-ZA"/>
        </w:rPr>
      </w:pPr>
      <w:r>
        <w:rPr>
          <w:sz w:val="22"/>
          <w:szCs w:val="22"/>
        </w:rPr>
        <w:t>foreign companies taking over more and more fertile farmland in poorer countries to grow food for export.</w:t>
      </w:r>
    </w:p>
    <w:p w:rsidR="00AB7884" w:rsidRDefault="00AB7884">
      <w:pPr>
        <w:autoSpaceDE w:val="0"/>
        <w:autoSpaceDN w:val="0"/>
        <w:adjustRightInd w:val="0"/>
        <w:spacing w:before="100" w:beforeAutospacing="1" w:after="100" w:afterAutospacing="1"/>
        <w:rPr>
          <w:sz w:val="22"/>
          <w:szCs w:val="22"/>
          <w:lang w:val="en-ZA" w:eastAsia="en-ZA"/>
        </w:rPr>
      </w:pPr>
      <w:r>
        <w:rPr>
          <w:sz w:val="22"/>
          <w:szCs w:val="22"/>
        </w:rPr>
        <w:t xml:space="preserve">The global food trade is highly political, being integrally tied up with power, money and wealth. A high proportion of wealth is concentrated in the North, while poverty and inequality is increasing concentrated in the South, impacting on food insecurity and hunger and affecting the health and nutrition of communities. </w:t>
      </w:r>
      <w:r>
        <w:rPr>
          <w:sz w:val="22"/>
          <w:szCs w:val="22"/>
          <w:lang w:val="en-ZA" w:eastAsia="en-ZA"/>
        </w:rPr>
        <w:t xml:space="preserve">The result is that the poorest, and especially the growing population of urban poor, who spend as much as 80% of their income on food, suffer the most.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0"/>
      </w:tblGrid>
      <w:tr w:rsidR="00AB7884" w:rsidRPr="0034040D" w:rsidTr="009F5DC2">
        <w:tc>
          <w:tcPr>
            <w:tcW w:w="8550" w:type="dxa"/>
          </w:tcPr>
          <w:p w:rsidR="00AB7884" w:rsidRPr="0034040D" w:rsidRDefault="00AB7884">
            <w:pPr>
              <w:autoSpaceDE w:val="0"/>
              <w:autoSpaceDN w:val="0"/>
              <w:adjustRightInd w:val="0"/>
              <w:spacing w:before="120" w:after="120"/>
              <w:rPr>
                <w:rFonts w:ascii="Trebuchet MS" w:eastAsiaTheme="minorEastAsia" w:hAnsi="Trebuchet MS" w:cs="Trebuchet MS"/>
                <w:b/>
                <w:bCs/>
                <w:color w:val="000000"/>
                <w:sz w:val="22"/>
                <w:szCs w:val="22"/>
                <w:lang w:val="en-US"/>
              </w:rPr>
            </w:pPr>
            <w:r w:rsidRPr="0034040D">
              <w:rPr>
                <w:rFonts w:ascii="Trebuchet MS" w:eastAsiaTheme="minorEastAsia" w:hAnsi="Trebuchet MS" w:cs="Trebuchet MS"/>
                <w:b/>
                <w:bCs/>
                <w:color w:val="000000"/>
                <w:sz w:val="22"/>
                <w:szCs w:val="22"/>
                <w:lang w:val="en-US"/>
              </w:rPr>
              <w:t xml:space="preserve">TASK 5 </w:t>
            </w:r>
            <w:r w:rsidRPr="0034040D">
              <w:rPr>
                <w:rFonts w:ascii="Calibri" w:eastAsiaTheme="minorEastAsia" w:hAnsi="Calibri" w:cs="Calibri"/>
                <w:b/>
                <w:bCs/>
                <w:color w:val="000000"/>
                <w:sz w:val="22"/>
                <w:szCs w:val="22"/>
                <w:lang w:val="en-US"/>
              </w:rPr>
              <w:t>-</w:t>
            </w:r>
            <w:r w:rsidRPr="0034040D">
              <w:rPr>
                <w:rFonts w:ascii="Trebuchet MS" w:eastAsiaTheme="minorEastAsia" w:hAnsi="Trebuchet MS" w:cs="Trebuchet MS"/>
                <w:b/>
                <w:bCs/>
                <w:color w:val="000000"/>
                <w:sz w:val="22"/>
                <w:szCs w:val="22"/>
                <w:lang w:val="en-US"/>
              </w:rPr>
              <w:t xml:space="preserve"> Investigate the determinants of either under- or over-nutrition in your own context</w:t>
            </w:r>
          </w:p>
          <w:p w:rsidR="00AB7884" w:rsidRPr="0034040D" w:rsidRDefault="00AB7884">
            <w:pPr>
              <w:autoSpaceDE w:val="0"/>
              <w:autoSpaceDN w:val="0"/>
              <w:adjustRightInd w:val="0"/>
              <w:spacing w:after="120"/>
              <w:rPr>
                <w:rFonts w:ascii="Trebuchet MS" w:eastAsiaTheme="minorEastAsia" w:hAnsi="Trebuchet MS" w:cs="Trebuchet MS"/>
                <w:b/>
                <w:bCs/>
                <w:color w:val="000000"/>
                <w:sz w:val="22"/>
                <w:szCs w:val="22"/>
                <w:lang w:val="en-US"/>
              </w:rPr>
            </w:pPr>
            <w:r w:rsidRPr="0034040D">
              <w:rPr>
                <w:rFonts w:ascii="Trebuchet MS" w:eastAsiaTheme="minorEastAsia" w:hAnsi="Trebuchet MS" w:cs="Trebuchet MS"/>
                <w:color w:val="000000"/>
                <w:sz w:val="22"/>
                <w:szCs w:val="22"/>
                <w:lang w:val="en-US"/>
              </w:rPr>
              <w:t xml:space="preserve">Use one of the Conceptual Frameworks of Causality to interrogate the causes of a specific diet-related disease in your country or local area of your choice. Explain the pathway from the disease to the global food trade. </w:t>
            </w:r>
          </w:p>
        </w:tc>
      </w:tr>
    </w:tbl>
    <w:p w:rsidR="00AB7884" w:rsidRDefault="00AB7884">
      <w:pPr>
        <w:pStyle w:val="Heading2"/>
        <w:spacing w:before="0"/>
        <w:rPr>
          <w:rFonts w:ascii="Trebuchet MS" w:hAnsi="Trebuchet MS" w:cs="Trebuchet MS"/>
          <w:sz w:val="22"/>
          <w:szCs w:val="22"/>
        </w:rPr>
      </w:pPr>
    </w:p>
    <w:p w:rsidR="00AB7884" w:rsidRDefault="00AB7884"/>
    <w:p w:rsidR="00AB7884" w:rsidRDefault="00AB7884">
      <w:pPr>
        <w:pStyle w:val="Heading2"/>
        <w:spacing w:before="0"/>
        <w:rPr>
          <w:rFonts w:ascii="Trebuchet MS" w:hAnsi="Trebuchet MS" w:cs="Trebuchet MS"/>
          <w:color w:val="FF0000"/>
          <w:sz w:val="24"/>
          <w:szCs w:val="24"/>
        </w:rPr>
      </w:pPr>
      <w:r>
        <w:rPr>
          <w:rFonts w:ascii="Trebuchet MS" w:hAnsi="Trebuchet MS" w:cs="Trebuchet MS"/>
          <w:sz w:val="28"/>
          <w:szCs w:val="28"/>
        </w:rPr>
        <w:t xml:space="preserve">9 </w:t>
      </w:r>
      <w:r>
        <w:rPr>
          <w:rFonts w:ascii="Trebuchet MS" w:hAnsi="Trebuchet MS" w:cs="Trebuchet MS"/>
          <w:sz w:val="28"/>
          <w:szCs w:val="28"/>
        </w:rPr>
        <w:tab/>
        <w:t>SESSION SUMMARY</w:t>
      </w:r>
    </w:p>
    <w:p w:rsidR="00AB7884" w:rsidRDefault="00717A10">
      <w:pPr>
        <w:rPr>
          <w:rFonts w:ascii="Trebuchet MS" w:hAnsi="Trebuchet MS" w:cs="Trebuchet MS"/>
          <w:b/>
          <w:bCs/>
          <w:sz w:val="18"/>
          <w:szCs w:val="18"/>
        </w:rPr>
      </w:pPr>
      <w:r w:rsidRPr="00717A10">
        <w:rPr>
          <w:color w:val="FF0000"/>
          <w:sz w:val="24"/>
          <w:szCs w:val="24"/>
        </w:rPr>
        <w:pict>
          <v:rect id="_x0000_i1063" style="width:425.2pt;height:2pt" o:hralign="center" o:hrstd="t" o:hrnoshade="t" o:hr="t" fillcolor="black" stroked="f"/>
        </w:pict>
      </w:r>
    </w:p>
    <w:p w:rsidR="00AB7884" w:rsidRDefault="00AB7884">
      <w:pPr>
        <w:pStyle w:val="BodyText"/>
        <w:spacing w:before="120" w:after="200"/>
        <w:rPr>
          <w:lang w:val="en-GB" w:eastAsia="en-US"/>
        </w:rPr>
      </w:pPr>
      <w:r>
        <w:rPr>
          <w:lang w:val="en-GB" w:eastAsia="en-US"/>
        </w:rPr>
        <w:t xml:space="preserve">In this session we have discussed the global food industry and its impact on under- and over-nutrition. We have seen how the global food chain is increasingly being shaped by TNCs which have penetrated into all sectors – from the sale of seeds and chemical fertilisers, to the selling of food via supermarkets and fast food outlets. </w:t>
      </w:r>
    </w:p>
    <w:p w:rsidR="00AB7884" w:rsidRDefault="00AB7884">
      <w:pPr>
        <w:spacing w:after="200"/>
        <w:rPr>
          <w:sz w:val="22"/>
          <w:szCs w:val="22"/>
        </w:rPr>
      </w:pPr>
      <w:r>
        <w:rPr>
          <w:sz w:val="22"/>
          <w:szCs w:val="22"/>
        </w:rPr>
        <w:t>Decisions about who eats what have increasingly been taken away from the State, and are now made in corporate boardrooms. As public health practitioners it is important for us to define our role and responsibility in shaping policies and practices which ‘promote disease’, unhealthy behaviours, lifestyles and environments. If we are responsible for the health of communities we need to understand how TNCs work, how trade negotiations play themselves out, and how global trade agreements are made. In other words, we need to understand what shapes what the people we are serving buy and eat.</w:t>
      </w:r>
    </w:p>
    <w:p w:rsidR="00AB7884" w:rsidRDefault="00AB7884" w:rsidP="00EE12BC">
      <w:pPr>
        <w:autoSpaceDE w:val="0"/>
        <w:autoSpaceDN w:val="0"/>
        <w:adjustRightInd w:val="0"/>
        <w:spacing w:after="240"/>
        <w:ind w:left="720"/>
        <w:rPr>
          <w:rFonts w:ascii="Trebuchet MS" w:hAnsi="Trebuchet MS" w:cs="Trebuchet MS"/>
          <w:sz w:val="22"/>
          <w:szCs w:val="22"/>
          <w:lang w:val="en-ZA" w:eastAsia="en-ZA"/>
        </w:rPr>
      </w:pPr>
      <w:r>
        <w:rPr>
          <w:rFonts w:ascii="Trebuchet MS" w:hAnsi="Trebuchet MS" w:cs="Trebuchet MS"/>
          <w:i/>
          <w:iCs/>
          <w:sz w:val="22"/>
          <w:szCs w:val="22"/>
          <w:lang w:val="en-ZA" w:eastAsia="en-ZA"/>
        </w:rPr>
        <w:t xml:space="preserve">“A food system that contributes to poverty among farmers and farm workers, low purchasing power among consumers, hunger, under-nutrition in some and obesity in others is not sustainable even if natural resources are sustainably managed.  Sustainability must be measured in terms of well-being of current as well as future generations. A sustainable food system must make a sufficient quantity of safe and healthy food available to all the people it is supposed to serve, in a manner that maintains its capacity to do so for future generations. To be global, a food system must link community and national </w:t>
      </w:r>
      <w:r>
        <w:rPr>
          <w:rFonts w:ascii="Trebuchet MS" w:hAnsi="Trebuchet MS" w:cs="Trebuchet MS"/>
          <w:i/>
          <w:iCs/>
          <w:sz w:val="22"/>
          <w:szCs w:val="22"/>
          <w:lang w:val="en-ZA" w:eastAsia="en-ZA"/>
        </w:rPr>
        <w:lastRenderedPageBreak/>
        <w:t xml:space="preserve">food systems in some identifiable and internally compatible way. This is not presently the case” </w:t>
      </w:r>
      <w:r>
        <w:rPr>
          <w:rFonts w:ascii="Trebuchet MS" w:hAnsi="Trebuchet MS" w:cs="Trebuchet MS"/>
          <w:sz w:val="22"/>
          <w:szCs w:val="22"/>
          <w:lang w:val="en-ZA" w:eastAsia="en-ZA"/>
        </w:rPr>
        <w:t>(Pinstrup-Andersen, 2002).</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2"/>
        <w:gridCol w:w="7073"/>
      </w:tblGrid>
      <w:tr w:rsidR="00EE12BC" w:rsidRPr="0034040D" w:rsidTr="00EE12BC">
        <w:trPr>
          <w:trHeight w:val="1389"/>
        </w:trPr>
        <w:tc>
          <w:tcPr>
            <w:tcW w:w="1432" w:type="dxa"/>
          </w:tcPr>
          <w:p w:rsidR="00EE12BC" w:rsidRPr="0034040D" w:rsidRDefault="00717A10" w:rsidP="00206A1D">
            <w:pPr>
              <w:spacing w:before="120"/>
              <w:rPr>
                <w:rFonts w:ascii="Trebuchet MS" w:eastAsiaTheme="minorEastAsia" w:hAnsi="Trebuchet MS" w:cs="Trebuchet MS"/>
                <w:b/>
                <w:bCs/>
                <w:sz w:val="22"/>
                <w:szCs w:val="22"/>
              </w:rPr>
            </w:pPr>
            <w:r w:rsidRPr="00717A10">
              <w:rPr>
                <w:rFonts w:ascii="Trebuchet MS" w:eastAsiaTheme="minorEastAsia" w:hAnsi="Trebuchet MS" w:cs="Trebuchet MS"/>
                <w:sz w:val="22"/>
                <w:szCs w:val="22"/>
              </w:rPr>
              <w:pict>
                <v:shape id="_x0000_i1064" type="#_x0000_t75" style="width:60.75pt;height:59.25pt">
                  <v:imagedata r:id="rId13" o:title=""/>
                </v:shape>
              </w:pict>
            </w:r>
          </w:p>
        </w:tc>
        <w:tc>
          <w:tcPr>
            <w:tcW w:w="7073" w:type="dxa"/>
          </w:tcPr>
          <w:p w:rsidR="00EE12BC" w:rsidRPr="0034040D" w:rsidRDefault="00EE12BC" w:rsidP="00206A1D">
            <w:pPr>
              <w:pStyle w:val="Foote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Internet Resource</w:t>
            </w:r>
          </w:p>
          <w:p w:rsidR="00EE12BC" w:rsidRPr="00EE12BC" w:rsidRDefault="00EE12BC" w:rsidP="00EE12BC">
            <w:pPr>
              <w:shd w:val="clear" w:color="auto" w:fill="FFFFFF" w:themeFill="background1"/>
              <w:rPr>
                <w:rFonts w:ascii="Trebuchet MS" w:hAnsi="Trebuchet MS"/>
                <w:sz w:val="22"/>
                <w:szCs w:val="22"/>
              </w:rPr>
            </w:pPr>
            <w:r w:rsidRPr="00EE12BC">
              <w:rPr>
                <w:rFonts w:ascii="Trebuchet MS" w:eastAsiaTheme="minorEastAsia" w:hAnsi="Trebuchet MS" w:cs="Trebuchet MS"/>
                <w:sz w:val="22"/>
                <w:szCs w:val="22"/>
              </w:rPr>
              <w:t xml:space="preserve">Vandana_Shiva_on_global_food_crisis.flv [YouTube. [Online], Available: </w:t>
            </w:r>
          </w:p>
          <w:p w:rsidR="00EE12BC" w:rsidRPr="00EE12BC" w:rsidRDefault="00717A10" w:rsidP="00EE12BC">
            <w:pPr>
              <w:rPr>
                <w:rFonts w:ascii="Trebuchet MS" w:hAnsi="Trebuchet MS"/>
                <w:sz w:val="22"/>
                <w:szCs w:val="22"/>
              </w:rPr>
            </w:pPr>
            <w:hyperlink r:id="rId41" w:history="1">
              <w:r w:rsidR="00EE12BC" w:rsidRPr="00EE12BC">
                <w:rPr>
                  <w:rStyle w:val="Hyperlink"/>
                  <w:rFonts w:ascii="Trebuchet MS" w:hAnsi="Trebuchet MS"/>
                  <w:sz w:val="22"/>
                  <w:szCs w:val="22"/>
                  <w:u w:val="none"/>
                </w:rPr>
                <w:t>www.youtube.com/watch?v=2NuKXkioCUs</w:t>
              </w:r>
            </w:hyperlink>
            <w:r w:rsidR="00EE12BC" w:rsidRPr="00EE12BC">
              <w:rPr>
                <w:rStyle w:val="HTMLCite"/>
                <w:rFonts w:ascii="Trebuchet MS" w:hAnsi="Trebuchet MS"/>
                <w:sz w:val="22"/>
                <w:szCs w:val="22"/>
              </w:rPr>
              <w:t xml:space="preserve"> </w:t>
            </w:r>
          </w:p>
          <w:p w:rsidR="00EE12BC" w:rsidRPr="0034040D" w:rsidRDefault="00EE12BC" w:rsidP="00206A1D">
            <w:pPr>
              <w:pStyle w:val="NormalWeb"/>
              <w:spacing w:before="0" w:beforeAutospacing="0" w:after="120" w:afterAutospacing="0"/>
              <w:rPr>
                <w:rFonts w:ascii="Trebuchet MS" w:eastAsiaTheme="minorEastAsia" w:hAnsi="Trebuchet MS" w:cs="Trebuchet MS"/>
                <w:b/>
                <w:bCs/>
                <w:sz w:val="22"/>
                <w:szCs w:val="22"/>
              </w:rPr>
            </w:pPr>
          </w:p>
        </w:tc>
      </w:tr>
    </w:tbl>
    <w:p w:rsidR="00EE12BC" w:rsidRPr="00883A71" w:rsidRDefault="00EE12BC">
      <w:pPr>
        <w:pStyle w:val="Heading2"/>
        <w:spacing w:before="240"/>
        <w:rPr>
          <w:rFonts w:ascii="Trebuchet MS" w:hAnsi="Trebuchet MS" w:cs="Trebuchet MS"/>
          <w:sz w:val="22"/>
          <w:szCs w:val="22"/>
        </w:rPr>
      </w:pPr>
    </w:p>
    <w:p w:rsidR="00AB7884" w:rsidRDefault="00AB7884" w:rsidP="00883A71">
      <w:pPr>
        <w:pStyle w:val="Heading2"/>
        <w:spacing w:before="120"/>
        <w:rPr>
          <w:rFonts w:ascii="Trebuchet MS" w:hAnsi="Trebuchet MS" w:cs="Trebuchet MS"/>
          <w:color w:val="FF0000"/>
          <w:sz w:val="24"/>
          <w:szCs w:val="24"/>
        </w:rPr>
      </w:pPr>
      <w:r>
        <w:rPr>
          <w:rFonts w:ascii="Trebuchet MS" w:hAnsi="Trebuchet MS" w:cs="Trebuchet MS"/>
          <w:sz w:val="28"/>
          <w:szCs w:val="28"/>
        </w:rPr>
        <w:t>10</w:t>
      </w:r>
      <w:r>
        <w:rPr>
          <w:rFonts w:ascii="Trebuchet MS" w:hAnsi="Trebuchet MS" w:cs="Trebuchet MS"/>
          <w:sz w:val="28"/>
          <w:szCs w:val="28"/>
        </w:rPr>
        <w:tab/>
        <w:t>REFERENCES AND FURTHER READING</w:t>
      </w:r>
    </w:p>
    <w:p w:rsidR="00AB7884" w:rsidRDefault="00717A10">
      <w:pPr>
        <w:rPr>
          <w:rFonts w:ascii="Trebuchet MS" w:hAnsi="Trebuchet MS" w:cs="Trebuchet MS"/>
          <w:b/>
          <w:bCs/>
          <w:sz w:val="18"/>
          <w:szCs w:val="18"/>
        </w:rPr>
      </w:pPr>
      <w:r w:rsidRPr="00717A10">
        <w:rPr>
          <w:color w:val="FF0000"/>
          <w:sz w:val="24"/>
          <w:szCs w:val="24"/>
        </w:rPr>
        <w:pict>
          <v:rect id="_x0000_i1065" style="width:425.2pt;height:2pt" o:hralign="center" o:hrstd="t" o:hrnoshade="t" o:hr="t" fillcolor="black" stroked="f"/>
        </w:pict>
      </w:r>
    </w:p>
    <w:p w:rsidR="00AB7884" w:rsidRDefault="00AB7884" w:rsidP="00EE12BC">
      <w:pPr>
        <w:autoSpaceDE w:val="0"/>
        <w:autoSpaceDN w:val="0"/>
        <w:adjustRightInd w:val="0"/>
        <w:spacing w:before="120" w:after="120"/>
        <w:rPr>
          <w:sz w:val="22"/>
          <w:szCs w:val="22"/>
          <w:lang w:val="en-ZA" w:eastAsia="nb-NO"/>
        </w:rPr>
      </w:pPr>
      <w:r>
        <w:rPr>
          <w:rStyle w:val="citation"/>
          <w:sz w:val="22"/>
          <w:szCs w:val="22"/>
        </w:rPr>
        <w:t xml:space="preserve">Bessesen, D.H. (2008). Update on obesity. </w:t>
      </w:r>
      <w:r>
        <w:rPr>
          <w:rStyle w:val="citation"/>
          <w:i/>
          <w:iCs/>
          <w:sz w:val="22"/>
          <w:szCs w:val="22"/>
        </w:rPr>
        <w:t>Journal of Clinical Endocrinology and  Metabolism,</w:t>
      </w:r>
      <w:r>
        <w:rPr>
          <w:rStyle w:val="citation"/>
          <w:sz w:val="22"/>
          <w:szCs w:val="22"/>
        </w:rPr>
        <w:t xml:space="preserve"> 93(6): 2027–34. </w:t>
      </w:r>
    </w:p>
    <w:p w:rsidR="00AB7884" w:rsidRDefault="00AB7884">
      <w:pPr>
        <w:autoSpaceDE w:val="0"/>
        <w:autoSpaceDN w:val="0"/>
        <w:adjustRightInd w:val="0"/>
        <w:spacing w:after="120"/>
        <w:rPr>
          <w:sz w:val="22"/>
          <w:szCs w:val="22"/>
          <w:lang w:val="en-ZA"/>
        </w:rPr>
      </w:pPr>
      <w:r>
        <w:rPr>
          <w:sz w:val="22"/>
          <w:szCs w:val="22"/>
        </w:rPr>
        <w:t xml:space="preserve">Chopra, M. &amp; Puoane, T. (2003). </w:t>
      </w:r>
      <w:r>
        <w:rPr>
          <w:i/>
          <w:iCs/>
          <w:sz w:val="22"/>
          <w:szCs w:val="22"/>
        </w:rPr>
        <w:t>Diabetes Voice</w:t>
      </w:r>
      <w:r>
        <w:rPr>
          <w:sz w:val="22"/>
          <w:szCs w:val="22"/>
        </w:rPr>
        <w:t xml:space="preserve">, 2003: 48:24. </w:t>
      </w:r>
    </w:p>
    <w:p w:rsidR="00AB7884" w:rsidRDefault="00AB7884">
      <w:pPr>
        <w:autoSpaceDE w:val="0"/>
        <w:autoSpaceDN w:val="0"/>
        <w:adjustRightInd w:val="0"/>
        <w:spacing w:after="120"/>
        <w:rPr>
          <w:sz w:val="22"/>
          <w:szCs w:val="22"/>
          <w:lang w:val="en-ZA"/>
        </w:rPr>
      </w:pPr>
      <w:r>
        <w:rPr>
          <w:sz w:val="22"/>
          <w:szCs w:val="22"/>
          <w:lang w:val="en-ZA" w:eastAsia="nb-NO"/>
        </w:rPr>
        <w:t xml:space="preserve">Chopra, M. (2004). </w:t>
      </w:r>
      <w:r>
        <w:rPr>
          <w:i/>
          <w:iCs/>
          <w:sz w:val="22"/>
          <w:szCs w:val="22"/>
          <w:lang w:val="en-ZA" w:eastAsia="nb-NO"/>
        </w:rPr>
        <w:t>Food security, rural development and health equity in Southern Africa.</w:t>
      </w:r>
      <w:r>
        <w:rPr>
          <w:sz w:val="22"/>
          <w:szCs w:val="22"/>
          <w:lang w:val="en-ZA" w:eastAsia="nb-NO"/>
        </w:rPr>
        <w:t xml:space="preserve"> University of the Western Cape South Africa, Regional Network for Equity in Health in Southern Africa (EQUINET). EQUINET Discussion Paper Number 22, December 2004. </w:t>
      </w:r>
    </w:p>
    <w:p w:rsidR="00AB7884" w:rsidRDefault="00AB7884">
      <w:pPr>
        <w:autoSpaceDE w:val="0"/>
        <w:autoSpaceDN w:val="0"/>
        <w:adjustRightInd w:val="0"/>
        <w:spacing w:after="120"/>
        <w:rPr>
          <w:sz w:val="22"/>
          <w:szCs w:val="22"/>
          <w:lang w:val="en-ZA"/>
        </w:rPr>
      </w:pPr>
      <w:r>
        <w:rPr>
          <w:sz w:val="22"/>
          <w:szCs w:val="22"/>
          <w:lang w:val="en-ZA"/>
        </w:rPr>
        <w:t xml:space="preserve">Coovadia, H., Jewkes, R., Barron, P., Sanders, D. &amp; McIntyre, D. (2009). Health in South Africa 1. The health and health system of South Africa: historical roots of current public health challenges, The </w:t>
      </w:r>
      <w:r>
        <w:rPr>
          <w:i/>
          <w:iCs/>
          <w:sz w:val="22"/>
          <w:szCs w:val="22"/>
          <w:lang w:val="en-ZA"/>
        </w:rPr>
        <w:t xml:space="preserve">Lancet </w:t>
      </w:r>
      <w:r>
        <w:rPr>
          <w:sz w:val="22"/>
          <w:szCs w:val="22"/>
          <w:lang w:val="en-ZA"/>
        </w:rPr>
        <w:t xml:space="preserve">2009; 374: 817–34. </w:t>
      </w:r>
    </w:p>
    <w:p w:rsidR="00AB7884" w:rsidRDefault="00AB7884">
      <w:pPr>
        <w:autoSpaceDE w:val="0"/>
        <w:autoSpaceDN w:val="0"/>
        <w:adjustRightInd w:val="0"/>
        <w:spacing w:after="120"/>
        <w:rPr>
          <w:sz w:val="22"/>
          <w:szCs w:val="22"/>
          <w:lang w:val="en-ZA"/>
        </w:rPr>
      </w:pPr>
      <w:r>
        <w:rPr>
          <w:sz w:val="22"/>
          <w:szCs w:val="22"/>
          <w:lang w:val="en-ZA" w:eastAsia="nb-NO"/>
        </w:rPr>
        <w:t xml:space="preserve">Department of Health, South Africa (2000). </w:t>
      </w:r>
      <w:r>
        <w:rPr>
          <w:i/>
          <w:iCs/>
          <w:sz w:val="22"/>
          <w:szCs w:val="22"/>
          <w:lang w:val="en-ZA" w:eastAsia="nb-NO"/>
        </w:rPr>
        <w:t>The National Food Consumption Survey</w:t>
      </w:r>
      <w:r>
        <w:rPr>
          <w:sz w:val="22"/>
          <w:szCs w:val="22"/>
          <w:lang w:val="en-ZA" w:eastAsia="nb-NO"/>
        </w:rPr>
        <w:t xml:space="preserve"> (</w:t>
      </w:r>
      <w:r>
        <w:rPr>
          <w:i/>
          <w:iCs/>
          <w:sz w:val="22"/>
          <w:szCs w:val="22"/>
          <w:lang w:val="en-ZA" w:eastAsia="nb-NO"/>
        </w:rPr>
        <w:t>NFCS), Stellenbosch</w:t>
      </w:r>
      <w:r>
        <w:rPr>
          <w:sz w:val="22"/>
          <w:szCs w:val="22"/>
          <w:lang w:val="en-ZA" w:eastAsia="nb-NO"/>
        </w:rPr>
        <w:t xml:space="preserve">. South Africa. Directorate: Nutrition, Department of Health; NFCS. </w:t>
      </w:r>
    </w:p>
    <w:p w:rsidR="00AB7884" w:rsidRPr="009F5DC2" w:rsidRDefault="00AB7884">
      <w:pPr>
        <w:spacing w:after="120"/>
        <w:rPr>
          <w:sz w:val="22"/>
          <w:szCs w:val="22"/>
          <w:lang w:val="en-ZA"/>
        </w:rPr>
      </w:pPr>
      <w:r>
        <w:rPr>
          <w:sz w:val="22"/>
          <w:szCs w:val="22"/>
          <w:lang w:val="en-ZA"/>
        </w:rPr>
        <w:t xml:space="preserve">EQUINET Steering Committee (2007). </w:t>
      </w:r>
      <w:r>
        <w:rPr>
          <w:i/>
          <w:iCs/>
          <w:sz w:val="22"/>
          <w:szCs w:val="22"/>
          <w:lang w:val="en-ZA"/>
        </w:rPr>
        <w:t>Reclaiming the Economic Resources for Health</w:t>
      </w:r>
      <w:r>
        <w:rPr>
          <w:sz w:val="22"/>
          <w:szCs w:val="22"/>
          <w:lang w:val="en-ZA"/>
        </w:rPr>
        <w:t xml:space="preserve">: </w:t>
      </w:r>
      <w:r>
        <w:rPr>
          <w:i/>
          <w:iCs/>
          <w:sz w:val="22"/>
          <w:szCs w:val="22"/>
          <w:lang w:val="en-ZA"/>
        </w:rPr>
        <w:t>A regional analysis of equity in health in East and Southern Africa.</w:t>
      </w:r>
      <w:r>
        <w:rPr>
          <w:sz w:val="22"/>
          <w:szCs w:val="22"/>
          <w:lang w:val="en-ZA"/>
        </w:rPr>
        <w:t xml:space="preserve"> </w:t>
      </w:r>
      <w:r>
        <w:rPr>
          <w:sz w:val="22"/>
          <w:szCs w:val="22"/>
          <w:lang w:val="en-ZA" w:eastAsia="nb-NO"/>
        </w:rPr>
        <w:t>Fountain Publishers, J</w:t>
      </w:r>
      <w:r w:rsidRPr="009F5DC2">
        <w:rPr>
          <w:sz w:val="22"/>
          <w:szCs w:val="22"/>
          <w:lang w:val="en-ZA" w:eastAsia="nb-NO"/>
        </w:rPr>
        <w:t xml:space="preserve">acana Media, Weaver Press. </w:t>
      </w:r>
    </w:p>
    <w:p w:rsidR="00AB7884" w:rsidRPr="009F5DC2" w:rsidRDefault="00AB7884">
      <w:pPr>
        <w:autoSpaceDE w:val="0"/>
        <w:autoSpaceDN w:val="0"/>
        <w:adjustRightInd w:val="0"/>
        <w:spacing w:after="120"/>
        <w:rPr>
          <w:sz w:val="22"/>
          <w:szCs w:val="22"/>
          <w:lang w:val="en-ZA"/>
        </w:rPr>
      </w:pPr>
      <w:r w:rsidRPr="009F5DC2">
        <w:rPr>
          <w:sz w:val="22"/>
          <w:szCs w:val="22"/>
          <w:lang w:val="en-ZA"/>
        </w:rPr>
        <w:t xml:space="preserve">Food and Agriculture Organization (FAO) of the United Nations (2006). The double burden of malnutrition, Case studies fromsix developing countries. [Online], Available: </w:t>
      </w:r>
      <w:hyperlink r:id="rId42" w:history="1">
        <w:r w:rsidRPr="009F5DC2">
          <w:rPr>
            <w:rStyle w:val="Hyperlink"/>
            <w:rFonts w:ascii="Arial" w:hAnsi="Arial" w:cs="Arial"/>
            <w:sz w:val="22"/>
            <w:szCs w:val="22"/>
            <w:u w:val="none"/>
            <w:lang w:val="en-ZA"/>
          </w:rPr>
          <w:t>ftp://ftp.fao.org/docrep/fao/009/a0442e/a0442e00.pdf</w:t>
        </w:r>
      </w:hyperlink>
      <w:r w:rsidRPr="009F5DC2">
        <w:rPr>
          <w:sz w:val="22"/>
          <w:szCs w:val="22"/>
          <w:lang w:val="en-ZA"/>
        </w:rPr>
        <w:t xml:space="preserve"> [Downloaded: 02/12/2011].</w:t>
      </w:r>
    </w:p>
    <w:p w:rsidR="00AB7884" w:rsidRPr="009F5DC2" w:rsidRDefault="00AB7884">
      <w:pPr>
        <w:autoSpaceDE w:val="0"/>
        <w:autoSpaceDN w:val="0"/>
        <w:adjustRightInd w:val="0"/>
        <w:spacing w:after="120"/>
        <w:rPr>
          <w:sz w:val="22"/>
          <w:szCs w:val="22"/>
        </w:rPr>
      </w:pPr>
      <w:r w:rsidRPr="009F5DC2">
        <w:rPr>
          <w:sz w:val="22"/>
          <w:szCs w:val="22"/>
        </w:rPr>
        <w:t xml:space="preserve">Frenk, J., Bobadilla, J.L., Sepulveda, J., Lopez Cervantes, M. (1989). Health transition middle income countries: new challenges for health care. </w:t>
      </w:r>
      <w:r w:rsidRPr="009F5DC2">
        <w:rPr>
          <w:i/>
          <w:iCs/>
          <w:sz w:val="22"/>
          <w:szCs w:val="22"/>
        </w:rPr>
        <w:t>Health Policy and Planning</w:t>
      </w:r>
      <w:r w:rsidRPr="009F5DC2">
        <w:rPr>
          <w:sz w:val="22"/>
          <w:szCs w:val="22"/>
        </w:rPr>
        <w:t xml:space="preserve">. 4(1): 29–39. </w:t>
      </w:r>
    </w:p>
    <w:p w:rsidR="00AB7884" w:rsidRPr="009F5DC2" w:rsidRDefault="00AB7884">
      <w:pPr>
        <w:autoSpaceDE w:val="0"/>
        <w:autoSpaceDN w:val="0"/>
        <w:adjustRightInd w:val="0"/>
        <w:spacing w:after="120"/>
        <w:rPr>
          <w:sz w:val="22"/>
          <w:szCs w:val="22"/>
          <w:lang w:val="en-ZA"/>
        </w:rPr>
      </w:pPr>
      <w:r w:rsidRPr="009F5DC2">
        <w:rPr>
          <w:sz w:val="22"/>
          <w:szCs w:val="22"/>
        </w:rPr>
        <w:t xml:space="preserve">GlaxoSmithKline (GSK). (2010). Why is SA so fat? </w:t>
      </w:r>
      <w:r w:rsidRPr="009F5DC2">
        <w:rPr>
          <w:i/>
          <w:iCs/>
          <w:sz w:val="22"/>
          <w:szCs w:val="22"/>
        </w:rPr>
        <w:t xml:space="preserve">Health24. </w:t>
      </w:r>
      <w:r w:rsidRPr="009F5DC2">
        <w:rPr>
          <w:sz w:val="22"/>
          <w:szCs w:val="22"/>
          <w:lang w:val="en-ZA"/>
        </w:rPr>
        <w:t xml:space="preserve">[Online], Available: </w:t>
      </w:r>
      <w:hyperlink r:id="rId43" w:history="1">
        <w:r w:rsidRPr="009F5DC2">
          <w:rPr>
            <w:rStyle w:val="Hyperlink"/>
            <w:rFonts w:ascii="Arial" w:hAnsi="Arial" w:cs="Arial"/>
            <w:sz w:val="22"/>
            <w:szCs w:val="22"/>
            <w:u w:val="none"/>
          </w:rPr>
          <w:t>http://www.health24.com/dietnfood/DietDocs_articles/15-1871,58316.asp</w:t>
        </w:r>
      </w:hyperlink>
      <w:r w:rsidRPr="009F5DC2">
        <w:rPr>
          <w:i/>
          <w:iCs/>
          <w:sz w:val="22"/>
          <w:szCs w:val="22"/>
        </w:rPr>
        <w:t xml:space="preserve"> </w:t>
      </w:r>
      <w:r w:rsidRPr="009F5DC2">
        <w:rPr>
          <w:sz w:val="22"/>
          <w:szCs w:val="22"/>
          <w:lang w:val="en-ZA"/>
        </w:rPr>
        <w:t>[Downloaded: 02/12/2011].</w:t>
      </w:r>
    </w:p>
    <w:p w:rsidR="00AB7884" w:rsidRPr="009F5DC2" w:rsidRDefault="00AB7884">
      <w:pPr>
        <w:autoSpaceDE w:val="0"/>
        <w:autoSpaceDN w:val="0"/>
        <w:adjustRightInd w:val="0"/>
        <w:spacing w:after="120"/>
        <w:rPr>
          <w:sz w:val="22"/>
          <w:szCs w:val="22"/>
          <w:lang w:val="en-ZA" w:eastAsia="nb-NO"/>
        </w:rPr>
      </w:pPr>
      <w:r w:rsidRPr="009F5DC2">
        <w:rPr>
          <w:sz w:val="22"/>
          <w:szCs w:val="22"/>
          <w:lang w:val="en-ZA" w:eastAsia="nb-NO"/>
        </w:rPr>
        <w:t>Global Alliance for Improved Nutrition (GAIN), Department of Health, UNICEF. (2005). Nat</w:t>
      </w:r>
      <w:r w:rsidRPr="009F5DC2">
        <w:rPr>
          <w:i/>
          <w:iCs/>
          <w:sz w:val="22"/>
          <w:szCs w:val="22"/>
          <w:lang w:val="en-ZA" w:eastAsia="nb-NO"/>
        </w:rPr>
        <w:t>ional Food Consumption Survey-Fortification Baseline (NFCS-FB-I), South Africa</w:t>
      </w:r>
      <w:r w:rsidRPr="009F5DC2">
        <w:rPr>
          <w:sz w:val="22"/>
          <w:szCs w:val="22"/>
          <w:lang w:val="en-ZA" w:eastAsia="nb-NO"/>
        </w:rPr>
        <w:t xml:space="preserve">, </w:t>
      </w:r>
      <w:r w:rsidRPr="009F5DC2">
        <w:rPr>
          <w:i/>
          <w:iCs/>
          <w:sz w:val="22"/>
          <w:szCs w:val="22"/>
          <w:lang w:val="en-ZA" w:eastAsia="nb-NO"/>
        </w:rPr>
        <w:t>2005</w:t>
      </w:r>
      <w:r w:rsidRPr="009F5DC2">
        <w:rPr>
          <w:sz w:val="22"/>
          <w:szCs w:val="22"/>
          <w:lang w:val="en-ZA" w:eastAsia="nb-NO"/>
        </w:rPr>
        <w:t>, GAIN, Department of Health, Republic of South Africa, UNICEF.</w:t>
      </w:r>
    </w:p>
    <w:p w:rsidR="00AB7884" w:rsidRPr="009F5DC2" w:rsidRDefault="00AB7884">
      <w:pPr>
        <w:tabs>
          <w:tab w:val="left" w:pos="540"/>
        </w:tabs>
        <w:spacing w:after="120"/>
        <w:rPr>
          <w:sz w:val="22"/>
          <w:szCs w:val="22"/>
          <w:lang w:val="en-US"/>
        </w:rPr>
      </w:pPr>
      <w:r w:rsidRPr="009F5DC2">
        <w:rPr>
          <w:sz w:val="22"/>
          <w:szCs w:val="22"/>
          <w:lang w:val="en-US"/>
        </w:rPr>
        <w:t xml:space="preserve">Global Health Watch. (2008). People’s Health Movement, Medact &amp; Global Equity Gauge Alliance. Reflections on globalization, trade, food and health. </w:t>
      </w:r>
      <w:r w:rsidRPr="009F5DC2">
        <w:rPr>
          <w:i/>
          <w:iCs/>
          <w:sz w:val="22"/>
          <w:szCs w:val="22"/>
          <w:lang w:val="en-US"/>
        </w:rPr>
        <w:t>Global Health Watch 2: An alternative World Health Report</w:t>
      </w:r>
      <w:r w:rsidRPr="009F5DC2">
        <w:rPr>
          <w:sz w:val="22"/>
          <w:szCs w:val="22"/>
          <w:lang w:val="en-US"/>
        </w:rPr>
        <w:t>. Zed Books Ltd.</w:t>
      </w:r>
    </w:p>
    <w:p w:rsidR="00AB7884" w:rsidRDefault="00AB7884">
      <w:pPr>
        <w:pStyle w:val="ListParagraph"/>
        <w:spacing w:after="120"/>
        <w:ind w:left="0"/>
        <w:rPr>
          <w:sz w:val="22"/>
          <w:szCs w:val="22"/>
          <w:lang w:eastAsia="en-ZA"/>
        </w:rPr>
      </w:pPr>
      <w:r w:rsidRPr="009F5DC2">
        <w:rPr>
          <w:sz w:val="22"/>
          <w:szCs w:val="22"/>
          <w:lang w:eastAsia="en-ZA"/>
        </w:rPr>
        <w:lastRenderedPageBreak/>
        <w:t xml:space="preserve">Greenberg, R. (2000). Raw deal: South Africa – EU trade pact, </w:t>
      </w:r>
      <w:r w:rsidRPr="009F5DC2">
        <w:rPr>
          <w:i/>
          <w:iCs/>
          <w:sz w:val="22"/>
          <w:szCs w:val="22"/>
          <w:lang w:eastAsia="en-ZA"/>
        </w:rPr>
        <w:t>Southern Africa Report (SAR)</w:t>
      </w:r>
      <w:r w:rsidRPr="009F5DC2">
        <w:rPr>
          <w:sz w:val="22"/>
          <w:szCs w:val="22"/>
          <w:lang w:eastAsia="en-ZA"/>
        </w:rPr>
        <w:t xml:space="preserve">, 15(3). [Online], Available: </w:t>
      </w:r>
      <w:hyperlink r:id="rId44" w:history="1">
        <w:r w:rsidRPr="009F5DC2">
          <w:rPr>
            <w:rStyle w:val="Hyperlink"/>
            <w:rFonts w:ascii="Arial" w:hAnsi="Arial" w:cs="Arial"/>
            <w:sz w:val="22"/>
            <w:szCs w:val="22"/>
            <w:u w:val="none"/>
            <w:lang w:eastAsia="en-ZA"/>
          </w:rPr>
          <w:t>http://www.africafiles.org/article.asp?ID=3648</w:t>
        </w:r>
      </w:hyperlink>
      <w:r w:rsidRPr="009F5DC2">
        <w:rPr>
          <w:sz w:val="22"/>
          <w:szCs w:val="22"/>
          <w:lang w:eastAsia="en-ZA"/>
        </w:rPr>
        <w:t xml:space="preserve"> [</w:t>
      </w:r>
      <w:r>
        <w:rPr>
          <w:sz w:val="22"/>
          <w:szCs w:val="22"/>
          <w:lang w:eastAsia="en-ZA"/>
        </w:rPr>
        <w:t>Downloaded: 1.9.12].</w:t>
      </w:r>
    </w:p>
    <w:p w:rsidR="00AB7884" w:rsidRDefault="00AB7884">
      <w:pPr>
        <w:pStyle w:val="ListParagraph"/>
        <w:spacing w:after="120"/>
        <w:ind w:left="0"/>
        <w:rPr>
          <w:sz w:val="22"/>
          <w:szCs w:val="22"/>
        </w:rPr>
      </w:pPr>
      <w:r>
        <w:rPr>
          <w:sz w:val="22"/>
          <w:szCs w:val="22"/>
        </w:rPr>
        <w:t xml:space="preserve">Hu, F. (2008). Globalization of Food Patterns and Cardiovascular Disease Risk. </w:t>
      </w:r>
      <w:r>
        <w:rPr>
          <w:i/>
          <w:iCs/>
          <w:sz w:val="22"/>
          <w:szCs w:val="22"/>
        </w:rPr>
        <w:t>Circulation: Journal of the American Heart Association</w:t>
      </w:r>
      <w:r>
        <w:rPr>
          <w:sz w:val="22"/>
          <w:szCs w:val="22"/>
        </w:rPr>
        <w:t>, 118:1913–1914.</w:t>
      </w:r>
    </w:p>
    <w:p w:rsidR="00AB7884" w:rsidRDefault="00AB7884">
      <w:pPr>
        <w:autoSpaceDE w:val="0"/>
        <w:autoSpaceDN w:val="0"/>
        <w:adjustRightInd w:val="0"/>
        <w:spacing w:after="120"/>
        <w:rPr>
          <w:sz w:val="22"/>
          <w:szCs w:val="22"/>
        </w:rPr>
      </w:pPr>
      <w:r>
        <w:rPr>
          <w:sz w:val="22"/>
          <w:szCs w:val="22"/>
        </w:rPr>
        <w:t xml:space="preserve">Kennedy, G., Nantel, G. &amp; Shetty, P. (2006). </w:t>
      </w:r>
      <w:r>
        <w:rPr>
          <w:i/>
          <w:iCs/>
          <w:sz w:val="22"/>
          <w:szCs w:val="22"/>
        </w:rPr>
        <w:t>Assessment of the double burden of malnutrition in six case study countries</w:t>
      </w:r>
      <w:r>
        <w:rPr>
          <w:sz w:val="22"/>
          <w:szCs w:val="22"/>
        </w:rPr>
        <w:t>. FAO of the UN, Rome.</w:t>
      </w:r>
    </w:p>
    <w:p w:rsidR="00AB7884" w:rsidRDefault="00AB7884">
      <w:pPr>
        <w:spacing w:after="120"/>
        <w:outlineLvl w:val="1"/>
        <w:rPr>
          <w:sz w:val="22"/>
          <w:szCs w:val="22"/>
          <w:lang w:val="en-US"/>
        </w:rPr>
      </w:pPr>
      <w:r>
        <w:rPr>
          <w:sz w:val="22"/>
          <w:szCs w:val="22"/>
          <w:lang w:val="en-US"/>
        </w:rPr>
        <w:t xml:space="preserve">Lopez, A.D., Mathers, C.D., Ezzati, M., Jamison, D.T. &amp; Murray, C.J.L. (2006). Global and regional burden of disease and risk factors, 2001: systematic analysis of population health data. </w:t>
      </w:r>
      <w:r>
        <w:rPr>
          <w:i/>
          <w:iCs/>
          <w:sz w:val="22"/>
          <w:szCs w:val="22"/>
          <w:lang w:val="en-US"/>
        </w:rPr>
        <w:t xml:space="preserve">The Lancet, </w:t>
      </w:r>
      <w:r>
        <w:rPr>
          <w:sz w:val="22"/>
          <w:szCs w:val="22"/>
          <w:lang w:val="en-US"/>
        </w:rPr>
        <w:t xml:space="preserve">367(9524):1747–1757. </w:t>
      </w:r>
    </w:p>
    <w:p w:rsidR="00AB7884" w:rsidRDefault="00AB7884">
      <w:pPr>
        <w:pStyle w:val="Heading1"/>
        <w:spacing w:before="0"/>
        <w:rPr>
          <w:rFonts w:eastAsia="Arial Unicode MS"/>
          <w:b w:val="0"/>
          <w:bCs w:val="0"/>
          <w:sz w:val="22"/>
          <w:szCs w:val="22"/>
        </w:rPr>
      </w:pPr>
      <w:r>
        <w:rPr>
          <w:b w:val="0"/>
          <w:bCs w:val="0"/>
          <w:sz w:val="22"/>
          <w:szCs w:val="22"/>
          <w:lang w:val="en-US"/>
        </w:rPr>
        <w:t xml:space="preserve">MacIntyre, </w:t>
      </w:r>
      <w:r>
        <w:rPr>
          <w:b w:val="0"/>
          <w:bCs w:val="0"/>
          <w:sz w:val="22"/>
          <w:szCs w:val="22"/>
        </w:rPr>
        <w:t xml:space="preserve">U.E., Kruger, H.S., Venter, C.S. &amp; Vorster H.H. </w:t>
      </w:r>
      <w:r>
        <w:rPr>
          <w:b w:val="0"/>
          <w:bCs w:val="0"/>
          <w:sz w:val="22"/>
          <w:szCs w:val="22"/>
          <w:lang w:val="en-US"/>
        </w:rPr>
        <w:t xml:space="preserve">(2002). </w:t>
      </w:r>
      <w:r>
        <w:rPr>
          <w:b w:val="0"/>
          <w:bCs w:val="0"/>
          <w:sz w:val="22"/>
          <w:szCs w:val="22"/>
        </w:rPr>
        <w:t xml:space="preserve">Dietary intakes of an African population in different stages of transition in the North West Province, South Africa: the THUSA study. </w:t>
      </w:r>
      <w:r>
        <w:rPr>
          <w:b w:val="0"/>
          <w:bCs w:val="0"/>
          <w:i/>
          <w:iCs/>
          <w:sz w:val="22"/>
          <w:szCs w:val="22"/>
          <w:lang w:val="en-US"/>
        </w:rPr>
        <w:t>Nutrition Research</w:t>
      </w:r>
      <w:r>
        <w:rPr>
          <w:b w:val="0"/>
          <w:bCs w:val="0"/>
          <w:sz w:val="22"/>
          <w:szCs w:val="22"/>
          <w:lang w:val="en-US"/>
        </w:rPr>
        <w:t>, 22(3): 239</w:t>
      </w:r>
      <w:r>
        <w:rPr>
          <w:b w:val="0"/>
          <w:bCs w:val="0"/>
          <w:i/>
          <w:iCs/>
          <w:sz w:val="22"/>
          <w:szCs w:val="22"/>
          <w:lang w:val="en-ZA"/>
        </w:rPr>
        <w:t>–</w:t>
      </w:r>
      <w:r>
        <w:rPr>
          <w:b w:val="0"/>
          <w:bCs w:val="0"/>
          <w:sz w:val="22"/>
          <w:szCs w:val="22"/>
          <w:lang w:val="en-US"/>
        </w:rPr>
        <w:t>256</w:t>
      </w:r>
    </w:p>
    <w:p w:rsidR="00AB7884" w:rsidRDefault="00AB7884">
      <w:pPr>
        <w:autoSpaceDE w:val="0"/>
        <w:autoSpaceDN w:val="0"/>
        <w:adjustRightInd w:val="0"/>
        <w:spacing w:after="120"/>
        <w:rPr>
          <w:sz w:val="22"/>
          <w:szCs w:val="22"/>
          <w:lang w:val="en-US"/>
        </w:rPr>
      </w:pPr>
      <w:r>
        <w:rPr>
          <w:sz w:val="22"/>
          <w:szCs w:val="22"/>
          <w:lang w:val="en-ZA" w:eastAsia="nb-NO"/>
        </w:rPr>
        <w:t xml:space="preserve">Omran, A.R. (2005 (First published 1971). The Epidemiologic Transition: A Theory of the Epidemiology of Population Change. </w:t>
      </w:r>
      <w:r>
        <w:rPr>
          <w:i/>
          <w:iCs/>
          <w:sz w:val="22"/>
          <w:szCs w:val="22"/>
          <w:lang w:val="en-ZA" w:eastAsia="nb-NO"/>
        </w:rPr>
        <w:t>The Milbank Quarterly</w:t>
      </w:r>
      <w:r>
        <w:rPr>
          <w:sz w:val="22"/>
          <w:szCs w:val="22"/>
          <w:lang w:val="en-ZA" w:eastAsia="nb-NO"/>
        </w:rPr>
        <w:t>. 83,(4):731–57.</w:t>
      </w:r>
    </w:p>
    <w:p w:rsidR="00AB7884" w:rsidRDefault="00AB7884">
      <w:pPr>
        <w:tabs>
          <w:tab w:val="left" w:pos="540"/>
        </w:tabs>
        <w:spacing w:after="120"/>
        <w:rPr>
          <w:sz w:val="22"/>
          <w:szCs w:val="22"/>
          <w:lang w:val="en-ZA" w:eastAsia="en-ZA"/>
        </w:rPr>
      </w:pPr>
      <w:r>
        <w:rPr>
          <w:sz w:val="22"/>
          <w:szCs w:val="22"/>
          <w:lang w:val="en-ZA" w:eastAsia="en-ZA"/>
        </w:rPr>
        <w:t xml:space="preserve">Pinstrup-Andersen, P. (2002). </w:t>
      </w:r>
      <w:r>
        <w:rPr>
          <w:i/>
          <w:iCs/>
          <w:sz w:val="22"/>
          <w:szCs w:val="22"/>
          <w:lang w:val="en-ZA" w:eastAsia="en-ZA"/>
        </w:rPr>
        <w:t>Towards a sustainable global food system: what will it take?</w:t>
      </w:r>
      <w:r>
        <w:rPr>
          <w:sz w:val="22"/>
          <w:szCs w:val="22"/>
          <w:lang w:val="en-ZA" w:eastAsia="en-ZA"/>
        </w:rPr>
        <w:t xml:space="preserve"> Keynote presentation for the Annual John Pesek Colloquium in Sustainable Agriculture, Iowa State University, March 26–27, 2002.</w:t>
      </w:r>
    </w:p>
    <w:p w:rsidR="00AB7884" w:rsidRDefault="00AB7884">
      <w:pPr>
        <w:tabs>
          <w:tab w:val="left" w:pos="540"/>
        </w:tabs>
        <w:spacing w:after="120"/>
        <w:rPr>
          <w:sz w:val="22"/>
          <w:szCs w:val="22"/>
          <w:lang w:eastAsia="en-ZA"/>
        </w:rPr>
      </w:pPr>
      <w:r>
        <w:rPr>
          <w:sz w:val="22"/>
          <w:szCs w:val="22"/>
          <w:lang w:eastAsia="en-ZA"/>
        </w:rPr>
        <w:t xml:space="preserve">Puoane, T., Steyn, K., Bradshaw, D., Lambert, E.V., Fourie, J. &amp; Laubscher, J.A. (1998). Anthropometry and Obesity in South Africa – the National Demographic and Health Survey. </w:t>
      </w:r>
      <w:r>
        <w:rPr>
          <w:i/>
          <w:iCs/>
          <w:sz w:val="22"/>
          <w:szCs w:val="22"/>
          <w:lang w:eastAsia="en-ZA"/>
        </w:rPr>
        <w:t>International Journal of Obesity</w:t>
      </w:r>
      <w:r>
        <w:rPr>
          <w:sz w:val="22"/>
          <w:szCs w:val="22"/>
          <w:lang w:eastAsia="en-ZA"/>
        </w:rPr>
        <w:t xml:space="preserve">. </w:t>
      </w:r>
    </w:p>
    <w:p w:rsidR="00AB7884" w:rsidRDefault="00AB7884">
      <w:pPr>
        <w:tabs>
          <w:tab w:val="left" w:pos="540"/>
        </w:tabs>
        <w:spacing w:after="120"/>
        <w:rPr>
          <w:sz w:val="22"/>
          <w:szCs w:val="22"/>
          <w:lang w:eastAsia="en-ZA"/>
        </w:rPr>
      </w:pPr>
      <w:r>
        <w:rPr>
          <w:sz w:val="22"/>
          <w:szCs w:val="22"/>
          <w:lang w:eastAsia="en-ZA"/>
        </w:rPr>
        <w:t xml:space="preserve">Puoane, T., Steyn, K., Bradshaw, D., Laubscher, R., Fourie, R., Lambert, V. &amp; Mbananga, N. (2002). </w:t>
      </w:r>
      <w:r>
        <w:rPr>
          <w:i/>
          <w:iCs/>
          <w:sz w:val="22"/>
          <w:szCs w:val="22"/>
          <w:lang w:eastAsia="en-ZA"/>
        </w:rPr>
        <w:t>Obesity in South Africa: The South African Demographic and Health Survey, Obesity Research</w:t>
      </w:r>
      <w:r>
        <w:rPr>
          <w:sz w:val="22"/>
          <w:szCs w:val="22"/>
          <w:lang w:eastAsia="en-ZA"/>
        </w:rPr>
        <w:t>, 10:1038</w:t>
      </w:r>
      <w:r>
        <w:rPr>
          <w:i/>
          <w:iCs/>
          <w:sz w:val="22"/>
          <w:szCs w:val="22"/>
          <w:lang w:val="en-ZA"/>
        </w:rPr>
        <w:t>–</w:t>
      </w:r>
      <w:r>
        <w:rPr>
          <w:sz w:val="22"/>
          <w:szCs w:val="22"/>
          <w:lang w:eastAsia="en-ZA"/>
        </w:rPr>
        <w:t>1048.</w:t>
      </w:r>
    </w:p>
    <w:p w:rsidR="00AB7884" w:rsidRDefault="00AB7884">
      <w:pPr>
        <w:spacing w:after="120"/>
        <w:rPr>
          <w:sz w:val="22"/>
          <w:szCs w:val="22"/>
          <w:lang w:val="en-ZA"/>
        </w:rPr>
      </w:pPr>
      <w:r>
        <w:rPr>
          <w:sz w:val="22"/>
          <w:szCs w:val="22"/>
          <w:lang w:val="en-ZA"/>
        </w:rPr>
        <w:t xml:space="preserve">Sanders, D. (2007). What society can contribute: Research, Training and Advocacy to Address Child Hunger and Undernutrition: A Civil Society Perspective, Working Together to end child hunger and undernutrition. </w:t>
      </w:r>
      <w:r>
        <w:rPr>
          <w:i/>
          <w:iCs/>
          <w:sz w:val="22"/>
          <w:szCs w:val="22"/>
          <w:lang w:val="en-ZA"/>
        </w:rPr>
        <w:t>Standing Committee on Nutrition (SCN) News</w:t>
      </w:r>
      <w:r>
        <w:rPr>
          <w:sz w:val="22"/>
          <w:szCs w:val="22"/>
          <w:lang w:val="en-ZA"/>
        </w:rPr>
        <w:t>, 34(mid-2007).</w:t>
      </w:r>
    </w:p>
    <w:p w:rsidR="00AB7884" w:rsidRDefault="00AB7884">
      <w:pPr>
        <w:autoSpaceDE w:val="0"/>
        <w:autoSpaceDN w:val="0"/>
        <w:adjustRightInd w:val="0"/>
        <w:spacing w:after="120"/>
        <w:rPr>
          <w:sz w:val="22"/>
          <w:szCs w:val="22"/>
          <w:lang w:val="en-ZA"/>
        </w:rPr>
      </w:pPr>
      <w:r>
        <w:rPr>
          <w:sz w:val="22"/>
          <w:szCs w:val="22"/>
          <w:lang w:val="en-ZA"/>
        </w:rPr>
        <w:t xml:space="preserve">Save the children. (2012) A life free from hunger; Tackling child malnutrition. </w:t>
      </w:r>
      <w:r>
        <w:rPr>
          <w:i/>
          <w:iCs/>
          <w:sz w:val="22"/>
          <w:szCs w:val="22"/>
          <w:lang w:val="en-ZA"/>
        </w:rPr>
        <w:t xml:space="preserve">Save The Children UK. </w:t>
      </w:r>
      <w:r>
        <w:rPr>
          <w:sz w:val="22"/>
          <w:szCs w:val="22"/>
          <w:lang w:val="en-ZA"/>
        </w:rPr>
        <w:t xml:space="preserve">[Online], Available: </w:t>
      </w:r>
      <w:hyperlink r:id="rId45" w:history="1">
        <w:r>
          <w:rPr>
            <w:rStyle w:val="Hyperlink"/>
            <w:rFonts w:ascii="Arial" w:hAnsi="Arial" w:cs="Arial"/>
            <w:color w:val="auto"/>
            <w:sz w:val="22"/>
            <w:szCs w:val="22"/>
            <w:u w:val="none"/>
            <w:lang w:val="en-ZA"/>
          </w:rPr>
          <w:t>http://www.savethechildren.org/atf/cf/%7B9def2ebe-10ae-432c-9bd0-df91d2eba74a%7D/A%20LIFE%20FREE%20FROM%20HUNGER%20-%20TACKLING%20CHILD%20MALNUTRITION.PDF</w:t>
        </w:r>
      </w:hyperlink>
      <w:r>
        <w:rPr>
          <w:sz w:val="22"/>
          <w:szCs w:val="22"/>
          <w:lang w:val="en-ZA"/>
        </w:rPr>
        <w:t xml:space="preserve"> [Downloaded: 02/04/2012].</w:t>
      </w:r>
    </w:p>
    <w:p w:rsidR="00AB7884" w:rsidRDefault="00AB7884">
      <w:pPr>
        <w:spacing w:after="120"/>
        <w:rPr>
          <w:sz w:val="22"/>
          <w:szCs w:val="22"/>
          <w:lang w:val="en-ZA"/>
        </w:rPr>
      </w:pPr>
      <w:bookmarkStart w:id="4" w:name="back_fn1"/>
      <w:r>
        <w:rPr>
          <w:sz w:val="22"/>
          <w:szCs w:val="22"/>
        </w:rPr>
        <w:t>Bradshaw, D., Chopra, M., Kerber, K., Lawn, JE., Bamford, L., Moodley, J., Pattison, R., Patrick, M., Stephen, C. &amp; Velaphi, S. (</w:t>
      </w:r>
      <w:bookmarkEnd w:id="4"/>
      <w:r>
        <w:rPr>
          <w:sz w:val="22"/>
          <w:szCs w:val="22"/>
        </w:rPr>
        <w:t xml:space="preserve">2008). Every death counts: use of mortality audit data for decision making to save the lives of mothers, babies, and children in South Africa. </w:t>
      </w:r>
      <w:r>
        <w:rPr>
          <w:i/>
          <w:iCs/>
          <w:sz w:val="22"/>
          <w:szCs w:val="22"/>
        </w:rPr>
        <w:t>The Lancet</w:t>
      </w:r>
      <w:r>
        <w:rPr>
          <w:sz w:val="22"/>
          <w:szCs w:val="22"/>
        </w:rPr>
        <w:t xml:space="preserve">, </w:t>
      </w:r>
      <w:hyperlink r:id="rId46" w:history="1">
        <w:r>
          <w:rPr>
            <w:sz w:val="22"/>
            <w:szCs w:val="22"/>
          </w:rPr>
          <w:t>371(9620)</w:t>
        </w:r>
      </w:hyperlink>
      <w:r>
        <w:rPr>
          <w:sz w:val="22"/>
          <w:szCs w:val="22"/>
        </w:rPr>
        <w:t>1294–1304.</w:t>
      </w:r>
    </w:p>
    <w:p w:rsidR="00AB7884" w:rsidRDefault="00AB7884">
      <w:pPr>
        <w:tabs>
          <w:tab w:val="num" w:pos="720"/>
        </w:tabs>
        <w:spacing w:after="120"/>
        <w:rPr>
          <w:sz w:val="22"/>
          <w:szCs w:val="22"/>
          <w:lang w:val="en-ZA" w:eastAsia="nb-NO"/>
        </w:rPr>
      </w:pPr>
      <w:r>
        <w:rPr>
          <w:sz w:val="22"/>
          <w:szCs w:val="22"/>
          <w:lang w:val="en-ZA" w:eastAsia="nb-NO"/>
        </w:rPr>
        <w:t xml:space="preserve">Steyn, K., Fourie, J., Temple, N. (eds). (2006). </w:t>
      </w:r>
      <w:r>
        <w:rPr>
          <w:i/>
          <w:iCs/>
          <w:sz w:val="22"/>
          <w:szCs w:val="22"/>
          <w:lang w:val="en-ZA" w:eastAsia="nb-NO"/>
        </w:rPr>
        <w:t>Chronic Diseases of Lifestyle in South Africa: 1995–2005</w:t>
      </w:r>
      <w:r>
        <w:rPr>
          <w:sz w:val="22"/>
          <w:szCs w:val="22"/>
          <w:lang w:val="en-ZA" w:eastAsia="nb-NO"/>
        </w:rPr>
        <w:t>. Technical Report. Cape Town: South African Medical Research Council, 2006.</w:t>
      </w:r>
    </w:p>
    <w:p w:rsidR="00AB7884" w:rsidRDefault="00AB7884">
      <w:pPr>
        <w:pStyle w:val="ListParagraph"/>
        <w:spacing w:after="120"/>
        <w:ind w:left="0"/>
        <w:rPr>
          <w:sz w:val="22"/>
          <w:szCs w:val="22"/>
        </w:rPr>
      </w:pPr>
      <w:r>
        <w:rPr>
          <w:sz w:val="22"/>
          <w:szCs w:val="22"/>
        </w:rPr>
        <w:t xml:space="preserve">Temple, N., Steyn, N., Fourie, J., &amp; Villiers, A. D. (2010). Price and availability of healthy food: A study in rural South Africa. </w:t>
      </w:r>
      <w:r>
        <w:rPr>
          <w:i/>
          <w:iCs/>
          <w:sz w:val="22"/>
          <w:szCs w:val="22"/>
        </w:rPr>
        <w:t>Nutrition</w:t>
      </w:r>
      <w:r>
        <w:rPr>
          <w:sz w:val="22"/>
          <w:szCs w:val="22"/>
        </w:rPr>
        <w:t xml:space="preserve"> </w:t>
      </w:r>
      <w:r>
        <w:rPr>
          <w:i/>
          <w:iCs/>
          <w:sz w:val="22"/>
          <w:szCs w:val="22"/>
        </w:rPr>
        <w:t>Journal,</w:t>
      </w:r>
      <w:r>
        <w:rPr>
          <w:sz w:val="22"/>
          <w:szCs w:val="22"/>
        </w:rPr>
        <w:t xml:space="preserve"> 1:1–4.</w:t>
      </w:r>
    </w:p>
    <w:p w:rsidR="00AB7884" w:rsidRDefault="00AB7884">
      <w:pPr>
        <w:autoSpaceDE w:val="0"/>
        <w:autoSpaceDN w:val="0"/>
        <w:adjustRightInd w:val="0"/>
        <w:spacing w:after="120"/>
        <w:rPr>
          <w:sz w:val="22"/>
          <w:szCs w:val="22"/>
          <w:lang w:val="en-ZA"/>
        </w:rPr>
      </w:pPr>
      <w:r>
        <w:rPr>
          <w:sz w:val="22"/>
          <w:szCs w:val="22"/>
        </w:rPr>
        <w:t xml:space="preserve">UNICEF/WHO Joint Committee (1989). </w:t>
      </w:r>
      <w:r>
        <w:rPr>
          <w:i/>
          <w:iCs/>
          <w:sz w:val="22"/>
          <w:szCs w:val="22"/>
        </w:rPr>
        <w:t>The State of the World’s Children, Focus on nutrition</w:t>
      </w:r>
      <w:r>
        <w:rPr>
          <w:sz w:val="22"/>
          <w:szCs w:val="22"/>
        </w:rPr>
        <w:t xml:space="preserve"> </w:t>
      </w:r>
      <w:hyperlink r:id="rId47" w:anchor="figure5" w:history="1">
        <w:r>
          <w:rPr>
            <w:rStyle w:val="Hyperlink"/>
            <w:rFonts w:ascii="Arial" w:hAnsi="Arial" w:cs="Arial"/>
            <w:color w:val="auto"/>
            <w:sz w:val="22"/>
            <w:szCs w:val="22"/>
            <w:u w:val="none"/>
          </w:rPr>
          <w:t>http://www.unicef.org/sowc98/silent4.htm#figure5</w:t>
        </w:r>
      </w:hyperlink>
      <w:r>
        <w:rPr>
          <w:sz w:val="22"/>
          <w:szCs w:val="22"/>
        </w:rPr>
        <w:t xml:space="preserve"> </w:t>
      </w:r>
      <w:r>
        <w:rPr>
          <w:sz w:val="22"/>
          <w:szCs w:val="22"/>
          <w:lang w:val="en-ZA"/>
        </w:rPr>
        <w:t>[Downloaded: 02/12/2011].</w:t>
      </w:r>
    </w:p>
    <w:p w:rsidR="00AB7884" w:rsidRDefault="00AB7884">
      <w:pPr>
        <w:autoSpaceDE w:val="0"/>
        <w:autoSpaceDN w:val="0"/>
        <w:adjustRightInd w:val="0"/>
        <w:spacing w:after="120"/>
        <w:rPr>
          <w:b/>
          <w:bCs/>
          <w:i/>
          <w:iCs/>
          <w:sz w:val="22"/>
          <w:szCs w:val="22"/>
          <w:lang w:val="en-ZA"/>
        </w:rPr>
      </w:pPr>
      <w:r>
        <w:rPr>
          <w:sz w:val="22"/>
          <w:szCs w:val="22"/>
          <w:lang w:val="en-ZA"/>
        </w:rPr>
        <w:lastRenderedPageBreak/>
        <w:t xml:space="preserve">World Cancer Research Fund/ American Institute for Cancer Research. (2009). </w:t>
      </w:r>
      <w:r>
        <w:rPr>
          <w:i/>
          <w:iCs/>
          <w:sz w:val="22"/>
          <w:szCs w:val="22"/>
          <w:lang w:val="en-ZA"/>
        </w:rPr>
        <w:t>Policy and Action for Cancer Prevention. Food, Nutrition, Physical Activity: a Global Perspective</w:t>
      </w:r>
      <w:r>
        <w:rPr>
          <w:sz w:val="22"/>
          <w:szCs w:val="22"/>
          <w:lang w:val="en-ZA"/>
        </w:rPr>
        <w:t>. World Cancer Research Fund/ American Institute for Cancer Research. London, UK.</w:t>
      </w:r>
    </w:p>
    <w:p w:rsidR="00AB7884" w:rsidRDefault="00AB7884">
      <w:pPr>
        <w:spacing w:after="120"/>
        <w:outlineLvl w:val="1"/>
        <w:rPr>
          <w:sz w:val="22"/>
          <w:szCs w:val="22"/>
          <w:lang w:val="en-ZA"/>
        </w:rPr>
      </w:pPr>
      <w:r>
        <w:rPr>
          <w:sz w:val="22"/>
          <w:szCs w:val="22"/>
          <w:lang w:val="en-ZA"/>
        </w:rPr>
        <w:t xml:space="preserve">WHO. (2003). Diet, nutrition and the prevention of chronic diseases. Report of the joint WHO/FAO expert consultation. </w:t>
      </w:r>
      <w:r>
        <w:rPr>
          <w:i/>
          <w:iCs/>
          <w:sz w:val="22"/>
          <w:szCs w:val="22"/>
          <w:lang w:val="en-ZA"/>
        </w:rPr>
        <w:t>WHO Technical Report Series</w:t>
      </w:r>
      <w:r>
        <w:rPr>
          <w:sz w:val="22"/>
          <w:szCs w:val="22"/>
          <w:lang w:val="en-ZA"/>
        </w:rPr>
        <w:t xml:space="preserve"> 916. Geneva: WHO.</w:t>
      </w:r>
    </w:p>
    <w:p w:rsidR="00AB7884" w:rsidRDefault="00AB7884">
      <w:pPr>
        <w:spacing w:after="120"/>
        <w:outlineLvl w:val="1"/>
        <w:rPr>
          <w:sz w:val="22"/>
          <w:szCs w:val="22"/>
          <w:lang w:val="en-ZA"/>
        </w:rPr>
      </w:pPr>
      <w:r>
        <w:rPr>
          <w:sz w:val="22"/>
          <w:szCs w:val="22"/>
          <w:lang w:val="en-ZA"/>
        </w:rPr>
        <w:t>WHO. (2009). Global Health Risks: mortality and burden of disease attributable to selected major risks. Geneva: WHO.</w:t>
      </w:r>
    </w:p>
    <w:p w:rsidR="00AB7884" w:rsidRDefault="00AB7884">
      <w:pPr>
        <w:spacing w:after="120"/>
        <w:outlineLvl w:val="1"/>
        <w:rPr>
          <w:sz w:val="22"/>
          <w:szCs w:val="22"/>
          <w:lang w:val="en-ZA"/>
        </w:rPr>
      </w:pPr>
      <w:r>
        <w:rPr>
          <w:sz w:val="22"/>
          <w:szCs w:val="22"/>
          <w:lang w:val="en-ZA"/>
        </w:rPr>
        <w:t xml:space="preserve">WHO. (2008) </w:t>
      </w:r>
      <w:r>
        <w:rPr>
          <w:i/>
          <w:iCs/>
          <w:sz w:val="22"/>
          <w:szCs w:val="22"/>
          <w:lang w:val="en-ZA"/>
        </w:rPr>
        <w:t>The global burden of disease: 2004 update</w:t>
      </w:r>
      <w:r>
        <w:rPr>
          <w:sz w:val="22"/>
          <w:szCs w:val="22"/>
          <w:lang w:val="en-ZA"/>
        </w:rPr>
        <w:t>. Geneva: WHO.</w:t>
      </w:r>
    </w:p>
    <w:p w:rsidR="00AB7884" w:rsidRDefault="00AB7884">
      <w:pPr>
        <w:pStyle w:val="PlainText"/>
        <w:spacing w:after="120"/>
        <w:rPr>
          <w:rFonts w:ascii="Arial" w:hAnsi="Arial" w:cs="Arial"/>
          <w:sz w:val="22"/>
          <w:szCs w:val="22"/>
          <w:lang w:val="en-ZA"/>
        </w:rPr>
      </w:pPr>
      <w:r>
        <w:rPr>
          <w:rFonts w:ascii="Arial" w:hAnsi="Arial" w:cs="Arial"/>
          <w:sz w:val="22"/>
          <w:szCs w:val="22"/>
          <w:lang w:val="en-ZA"/>
        </w:rPr>
        <w:t xml:space="preserve">WHO, Nutrition (2012). [Online], Available: from </w:t>
      </w:r>
      <w:hyperlink r:id="rId48" w:history="1">
        <w:r>
          <w:rPr>
            <w:rStyle w:val="Hyperlink"/>
            <w:rFonts w:ascii="Arial" w:hAnsi="Arial" w:cs="Arial"/>
            <w:sz w:val="22"/>
            <w:szCs w:val="22"/>
            <w:u w:val="none"/>
            <w:lang w:val="en-ZA"/>
          </w:rPr>
          <w:t>http://www.who.int/nutrition/en/</w:t>
        </w:r>
      </w:hyperlink>
      <w:r>
        <w:rPr>
          <w:rFonts w:ascii="Arial" w:hAnsi="Arial" w:cs="Arial"/>
          <w:sz w:val="22"/>
          <w:szCs w:val="22"/>
          <w:lang w:val="en-ZA"/>
        </w:rPr>
        <w:t xml:space="preserve"> [Downloaded: 02/04/2012].</w:t>
      </w:r>
    </w:p>
    <w:p w:rsidR="00AB7884" w:rsidRDefault="00AB7884" w:rsidP="00251C3B">
      <w:pPr>
        <w:pStyle w:val="PlainText"/>
        <w:rPr>
          <w:rFonts w:ascii="Verdana" w:hAnsi="Verdana" w:cs="Verdana"/>
          <w:b/>
          <w:bCs/>
          <w:sz w:val="52"/>
          <w:szCs w:val="52"/>
        </w:rPr>
      </w:pPr>
      <w:r>
        <w:rPr>
          <w:rFonts w:ascii="Arial" w:hAnsi="Arial" w:cs="Arial"/>
          <w:sz w:val="22"/>
          <w:szCs w:val="22"/>
          <w:lang w:val="en-ZA"/>
        </w:rPr>
        <w:br w:type="page"/>
      </w:r>
      <w:r w:rsidR="00556CD8">
        <w:rPr>
          <w:rFonts w:ascii="Arial" w:hAnsi="Arial" w:cs="Arial"/>
          <w:sz w:val="22"/>
          <w:szCs w:val="22"/>
          <w:lang w:val="en-ZA"/>
        </w:rPr>
        <w:lastRenderedPageBreak/>
        <w:br w:type="page"/>
      </w:r>
      <w:r>
        <w:rPr>
          <w:rFonts w:ascii="Verdana" w:hAnsi="Verdana" w:cs="Verdana"/>
          <w:b/>
          <w:bCs/>
          <w:spacing w:val="40"/>
          <w:sz w:val="52"/>
          <w:szCs w:val="52"/>
        </w:rPr>
        <w:lastRenderedPageBreak/>
        <w:t>Unit 2-</w:t>
      </w:r>
      <w:r>
        <w:rPr>
          <w:rFonts w:ascii="Calibri" w:hAnsi="Calibri" w:cs="Calibri"/>
          <w:b/>
          <w:bCs/>
          <w:spacing w:val="40"/>
          <w:sz w:val="52"/>
          <w:szCs w:val="52"/>
        </w:rPr>
        <w:t xml:space="preserve"> </w:t>
      </w:r>
      <w:r>
        <w:rPr>
          <w:rFonts w:ascii="Verdana" w:hAnsi="Verdana" w:cs="Verdana"/>
          <w:b/>
          <w:bCs/>
          <w:sz w:val="52"/>
          <w:szCs w:val="52"/>
        </w:rPr>
        <w:t>Session 3</w:t>
      </w:r>
    </w:p>
    <w:p w:rsidR="00AB7884" w:rsidRDefault="00AB7884">
      <w:pPr>
        <w:pStyle w:val="PlainText"/>
        <w:rPr>
          <w:rFonts w:ascii="Verdana" w:hAnsi="Verdana" w:cs="Verdana"/>
          <w:b/>
          <w:bCs/>
          <w:sz w:val="16"/>
          <w:szCs w:val="16"/>
        </w:rPr>
      </w:pPr>
    </w:p>
    <w:p w:rsidR="00AB7884" w:rsidRDefault="00AB7884" w:rsidP="00251C3B">
      <w:pPr>
        <w:pStyle w:val="PlainText"/>
        <w:rPr>
          <w:rFonts w:ascii="Arial" w:hAnsi="Arial" w:cs="Arial"/>
          <w:sz w:val="22"/>
          <w:szCs w:val="22"/>
        </w:rPr>
      </w:pPr>
      <w:r>
        <w:rPr>
          <w:rFonts w:ascii="Verdana" w:hAnsi="Verdana" w:cs="Verdana"/>
          <w:b/>
          <w:bCs/>
          <w:sz w:val="52"/>
          <w:szCs w:val="52"/>
        </w:rPr>
        <w:t xml:space="preserve">How Does the Global Pharmaceutical Trade Affect the Health of Communities? </w:t>
      </w:r>
    </w:p>
    <w:p w:rsidR="00AB7884" w:rsidRDefault="00717A10">
      <w:pPr>
        <w:pStyle w:val="PlainText"/>
        <w:rPr>
          <w:rFonts w:ascii="Verdana" w:hAnsi="Verdana" w:cs="Verdana"/>
          <w:b/>
          <w:bCs/>
          <w:sz w:val="52"/>
          <w:szCs w:val="52"/>
        </w:rPr>
      </w:pPr>
      <w:r w:rsidRPr="00717A10">
        <w:rPr>
          <w:rFonts w:ascii="Verdana" w:hAnsi="Verdana" w:cs="Verdana"/>
          <w:b/>
          <w:bCs/>
          <w:sz w:val="52"/>
          <w:szCs w:val="52"/>
        </w:rPr>
        <w:pict>
          <v:rect id="_x0000_i1066" style="width:425.25pt;height:6pt" o:hrpct="0" o:hrstd="t" o:hrnoshade="t" o:hr="t" fillcolor="black" stroked="f"/>
        </w:pict>
      </w:r>
    </w:p>
    <w:p w:rsidR="00AB7884" w:rsidRDefault="00AB7884">
      <w:pPr>
        <w:pStyle w:val="Heading1"/>
        <w:rPr>
          <w:rFonts w:ascii="Trebuchet MS" w:hAnsi="Trebuchet MS" w:cs="Trebuchet MS"/>
          <w:sz w:val="28"/>
          <w:szCs w:val="28"/>
        </w:rPr>
      </w:pPr>
      <w:r>
        <w:rPr>
          <w:rFonts w:ascii="Trebuchet MS" w:hAnsi="Trebuchet MS" w:cs="Trebuchet MS"/>
          <w:sz w:val="28"/>
          <w:szCs w:val="28"/>
        </w:rPr>
        <w:t>Introduction</w:t>
      </w:r>
    </w:p>
    <w:p w:rsidR="00AB7884" w:rsidRDefault="00AB7884">
      <w:pPr>
        <w:rPr>
          <w:sz w:val="22"/>
          <w:szCs w:val="22"/>
        </w:rPr>
      </w:pPr>
      <w:r>
        <w:rPr>
          <w:sz w:val="22"/>
          <w:szCs w:val="22"/>
        </w:rPr>
        <w:t xml:space="preserve">Session 2 examined how decisions about food and food-related products, taken at a global level filter down to the national, community and household level, and influence availability, access, quality and pricing, and ultimately cause public health concerns. In this session we analyse how similar processes play themselves out in relation to the trade in pharmaceuticals. </w:t>
      </w:r>
    </w:p>
    <w:p w:rsidR="00AB7884" w:rsidRDefault="00AB7884">
      <w:pPr>
        <w:ind w:right="1335"/>
        <w:rPr>
          <w:sz w:val="22"/>
          <w:szCs w:val="22"/>
        </w:rPr>
      </w:pPr>
    </w:p>
    <w:p w:rsidR="00AB7884" w:rsidRDefault="00AB7884">
      <w:pPr>
        <w:ind w:right="1335"/>
        <w:rPr>
          <w:sz w:val="22"/>
          <w:szCs w:val="22"/>
        </w:rPr>
      </w:pPr>
      <w:r>
        <w:rPr>
          <w:sz w:val="22"/>
          <w:szCs w:val="22"/>
        </w:rPr>
        <w:t xml:space="preserve">As you work through the session keep in mind the following questions: </w:t>
      </w:r>
    </w:p>
    <w:p w:rsidR="00AB7884" w:rsidRDefault="00AB7884">
      <w:pPr>
        <w:ind w:right="1335"/>
        <w:rPr>
          <w:sz w:val="22"/>
          <w:szCs w:val="22"/>
        </w:rPr>
      </w:pPr>
    </w:p>
    <w:p w:rsidR="00AB7884" w:rsidRDefault="00AB7884" w:rsidP="007F44B4">
      <w:pPr>
        <w:numPr>
          <w:ilvl w:val="0"/>
          <w:numId w:val="41"/>
        </w:numPr>
        <w:rPr>
          <w:sz w:val="22"/>
          <w:szCs w:val="22"/>
        </w:rPr>
      </w:pPr>
      <w:r>
        <w:rPr>
          <w:sz w:val="22"/>
          <w:szCs w:val="22"/>
        </w:rPr>
        <w:t xml:space="preserve">Who has the power to make and influence decisions taken at each level? </w:t>
      </w:r>
    </w:p>
    <w:p w:rsidR="00AB7884" w:rsidRDefault="00AB7884" w:rsidP="007F44B4">
      <w:pPr>
        <w:numPr>
          <w:ilvl w:val="0"/>
          <w:numId w:val="41"/>
        </w:numPr>
        <w:ind w:right="1335"/>
        <w:rPr>
          <w:sz w:val="22"/>
          <w:szCs w:val="22"/>
        </w:rPr>
      </w:pPr>
      <w:r>
        <w:rPr>
          <w:sz w:val="22"/>
          <w:szCs w:val="22"/>
        </w:rPr>
        <w:t xml:space="preserve">What are the consequences of these decisions at each level? </w:t>
      </w:r>
    </w:p>
    <w:p w:rsidR="00AB7884" w:rsidRDefault="00AB7884" w:rsidP="007F44B4">
      <w:pPr>
        <w:numPr>
          <w:ilvl w:val="0"/>
          <w:numId w:val="41"/>
        </w:numPr>
        <w:ind w:right="1335"/>
        <w:rPr>
          <w:sz w:val="22"/>
          <w:szCs w:val="22"/>
        </w:rPr>
      </w:pPr>
      <w:r>
        <w:rPr>
          <w:sz w:val="22"/>
          <w:szCs w:val="22"/>
        </w:rPr>
        <w:t>Who is advantaged? Who is disadvantaged?</w:t>
      </w:r>
    </w:p>
    <w:p w:rsidR="00AB7884" w:rsidRDefault="00AB7884" w:rsidP="007F44B4">
      <w:pPr>
        <w:numPr>
          <w:ilvl w:val="0"/>
          <w:numId w:val="41"/>
        </w:numPr>
        <w:ind w:right="1335"/>
        <w:rPr>
          <w:sz w:val="22"/>
          <w:szCs w:val="22"/>
        </w:rPr>
      </w:pPr>
      <w:r>
        <w:rPr>
          <w:sz w:val="22"/>
          <w:szCs w:val="22"/>
        </w:rPr>
        <w:t>Are we powerless to intervene in the global chain of decision making?</w:t>
      </w:r>
    </w:p>
    <w:p w:rsidR="00AB7884" w:rsidRDefault="00AB7884">
      <w:pPr>
        <w:ind w:left="360" w:right="1335"/>
        <w:rPr>
          <w:sz w:val="22"/>
          <w:szCs w:val="22"/>
        </w:rPr>
      </w:pPr>
    </w:p>
    <w:p w:rsidR="00AB7884" w:rsidRDefault="00AB7884">
      <w:pPr>
        <w:pStyle w:val="Heading1"/>
        <w:rPr>
          <w:rFonts w:ascii="Trebuchet MS" w:hAnsi="Trebuchet MS" w:cs="Trebuchet MS"/>
          <w:sz w:val="28"/>
          <w:szCs w:val="28"/>
        </w:rPr>
      </w:pPr>
      <w:r>
        <w:rPr>
          <w:rFonts w:ascii="Trebuchet MS" w:hAnsi="Trebuchet MS" w:cs="Trebuchet MS"/>
          <w:sz w:val="28"/>
          <w:szCs w:val="28"/>
        </w:rPr>
        <w:t xml:space="preserve">Contents </w:t>
      </w:r>
    </w:p>
    <w:p w:rsidR="00AB7884" w:rsidRDefault="00AB7884">
      <w:pPr>
        <w:ind w:right="1332"/>
        <w:rPr>
          <w:sz w:val="22"/>
          <w:szCs w:val="22"/>
        </w:rPr>
      </w:pPr>
      <w:r>
        <w:rPr>
          <w:sz w:val="22"/>
          <w:szCs w:val="22"/>
        </w:rPr>
        <w:t>1</w:t>
      </w:r>
      <w:r>
        <w:rPr>
          <w:sz w:val="22"/>
          <w:szCs w:val="22"/>
        </w:rPr>
        <w:tab/>
        <w:t>Learning outcomes of this session</w:t>
      </w:r>
    </w:p>
    <w:p w:rsidR="00AB7884" w:rsidRDefault="00AB7884">
      <w:pPr>
        <w:ind w:right="1332"/>
        <w:rPr>
          <w:sz w:val="22"/>
          <w:szCs w:val="22"/>
        </w:rPr>
      </w:pPr>
      <w:r>
        <w:rPr>
          <w:sz w:val="22"/>
          <w:szCs w:val="22"/>
        </w:rPr>
        <w:t>2</w:t>
      </w:r>
      <w:r>
        <w:rPr>
          <w:sz w:val="22"/>
          <w:szCs w:val="22"/>
        </w:rPr>
        <w:tab/>
        <w:t xml:space="preserve">Readings </w:t>
      </w:r>
    </w:p>
    <w:p w:rsidR="00AB7884" w:rsidRDefault="00AB7884">
      <w:pPr>
        <w:ind w:left="720" w:right="1332" w:hanging="720"/>
        <w:rPr>
          <w:sz w:val="22"/>
          <w:szCs w:val="22"/>
        </w:rPr>
      </w:pPr>
      <w:r>
        <w:rPr>
          <w:sz w:val="22"/>
          <w:szCs w:val="22"/>
        </w:rPr>
        <w:t>3</w:t>
      </w:r>
      <w:r>
        <w:rPr>
          <w:sz w:val="22"/>
          <w:szCs w:val="22"/>
        </w:rPr>
        <w:tab/>
        <w:t>The global pharmaceutical industry</w:t>
      </w:r>
    </w:p>
    <w:p w:rsidR="00AB7884" w:rsidRDefault="00AB7884">
      <w:pPr>
        <w:ind w:left="720" w:right="1332" w:hanging="720"/>
        <w:rPr>
          <w:sz w:val="22"/>
          <w:szCs w:val="22"/>
        </w:rPr>
      </w:pPr>
      <w:r>
        <w:rPr>
          <w:sz w:val="22"/>
          <w:szCs w:val="22"/>
        </w:rPr>
        <w:t xml:space="preserve">4 </w:t>
      </w:r>
      <w:r>
        <w:rPr>
          <w:sz w:val="22"/>
          <w:szCs w:val="22"/>
        </w:rPr>
        <w:tab/>
        <w:t>Case Study: HIV/AIDS and access to ARVs</w:t>
      </w:r>
    </w:p>
    <w:p w:rsidR="00AB7884" w:rsidRDefault="00AB7884">
      <w:pPr>
        <w:ind w:left="720" w:right="1332" w:hanging="720"/>
        <w:rPr>
          <w:sz w:val="22"/>
          <w:szCs w:val="22"/>
        </w:rPr>
      </w:pPr>
      <w:r>
        <w:rPr>
          <w:sz w:val="22"/>
          <w:szCs w:val="22"/>
        </w:rPr>
        <w:t>5</w:t>
      </w:r>
      <w:r>
        <w:rPr>
          <w:sz w:val="22"/>
          <w:szCs w:val="22"/>
        </w:rPr>
        <w:tab/>
        <w:t>The need for a new regulatory framework</w:t>
      </w:r>
    </w:p>
    <w:p w:rsidR="00AB7884" w:rsidRDefault="00AB7884">
      <w:pPr>
        <w:ind w:right="39"/>
        <w:rPr>
          <w:sz w:val="22"/>
          <w:szCs w:val="22"/>
        </w:rPr>
      </w:pPr>
      <w:r>
        <w:rPr>
          <w:sz w:val="22"/>
          <w:szCs w:val="22"/>
        </w:rPr>
        <w:t>6</w:t>
      </w:r>
      <w:r>
        <w:rPr>
          <w:sz w:val="22"/>
          <w:szCs w:val="22"/>
        </w:rPr>
        <w:tab/>
        <w:t xml:space="preserve">Session summary </w:t>
      </w:r>
    </w:p>
    <w:p w:rsidR="00AB7884" w:rsidRDefault="00AB7884">
      <w:pPr>
        <w:ind w:right="39"/>
        <w:rPr>
          <w:sz w:val="22"/>
          <w:szCs w:val="22"/>
        </w:rPr>
      </w:pPr>
      <w:r>
        <w:rPr>
          <w:sz w:val="22"/>
          <w:szCs w:val="22"/>
        </w:rPr>
        <w:t>7</w:t>
      </w:r>
      <w:r>
        <w:rPr>
          <w:sz w:val="22"/>
          <w:szCs w:val="22"/>
        </w:rPr>
        <w:tab/>
        <w:t>References and further reading</w:t>
      </w:r>
    </w:p>
    <w:p w:rsidR="00AB7884" w:rsidRDefault="00AB7884">
      <w:pPr>
        <w:pStyle w:val="Heading1"/>
        <w:tabs>
          <w:tab w:val="left" w:pos="540"/>
        </w:tabs>
        <w:spacing w:before="240"/>
        <w:rPr>
          <w:rFonts w:ascii="Trebuchet MS" w:hAnsi="Trebuchet MS" w:cs="Trebuchet MS"/>
          <w:sz w:val="28"/>
          <w:szCs w:val="28"/>
        </w:rPr>
      </w:pPr>
      <w:r>
        <w:rPr>
          <w:rFonts w:ascii="Trebuchet MS" w:hAnsi="Trebuchet MS" w:cs="Trebuchet MS"/>
          <w:sz w:val="28"/>
          <w:szCs w:val="28"/>
        </w:rPr>
        <w:t>Timing of this session</w:t>
      </w:r>
    </w:p>
    <w:p w:rsidR="00AB7884" w:rsidRDefault="00AB7884">
      <w:pPr>
        <w:tabs>
          <w:tab w:val="left" w:pos="540"/>
        </w:tabs>
        <w:rPr>
          <w:sz w:val="22"/>
          <w:szCs w:val="22"/>
        </w:rPr>
      </w:pPr>
      <w:r>
        <w:rPr>
          <w:sz w:val="22"/>
          <w:szCs w:val="22"/>
        </w:rPr>
        <w:t>There are seven readings and six tasks. This session should take you about five hours to work through.</w:t>
      </w:r>
    </w:p>
    <w:p w:rsidR="00AB7884" w:rsidRDefault="00AB7884">
      <w:pPr>
        <w:tabs>
          <w:tab w:val="left" w:pos="540"/>
        </w:tabs>
        <w:rPr>
          <w:sz w:val="22"/>
          <w:szCs w:val="22"/>
        </w:rPr>
      </w:pPr>
    </w:p>
    <w:p w:rsidR="00AB7884" w:rsidRPr="00854483" w:rsidRDefault="00AB7884" w:rsidP="00854483">
      <w:pPr>
        <w:pStyle w:val="Heading2"/>
        <w:spacing w:before="0"/>
        <w:rPr>
          <w:rFonts w:ascii="Trebuchet MS" w:hAnsi="Trebuchet MS" w:cs="Trebuchet MS"/>
          <w:color w:val="FF0000"/>
          <w:sz w:val="24"/>
          <w:szCs w:val="24"/>
        </w:rPr>
      </w:pPr>
      <w:r>
        <w:rPr>
          <w:rFonts w:ascii="Trebuchet MS" w:hAnsi="Trebuchet MS" w:cs="Trebuchet MS"/>
          <w:b w:val="0"/>
          <w:bCs w:val="0"/>
          <w:sz w:val="28"/>
          <w:szCs w:val="28"/>
        </w:rPr>
        <w:br w:type="page"/>
      </w:r>
      <w:r w:rsidRPr="00854483">
        <w:rPr>
          <w:rFonts w:ascii="Trebuchet MS" w:hAnsi="Trebuchet MS" w:cs="Trebuchet MS"/>
          <w:sz w:val="28"/>
          <w:szCs w:val="28"/>
        </w:rPr>
        <w:lastRenderedPageBreak/>
        <w:t>1</w:t>
      </w:r>
      <w:r w:rsidRPr="00854483">
        <w:rPr>
          <w:rFonts w:ascii="Trebuchet MS" w:hAnsi="Trebuchet MS" w:cs="Trebuchet MS"/>
          <w:sz w:val="28"/>
          <w:szCs w:val="28"/>
        </w:rPr>
        <w:tab/>
        <w:t>LEARNING OUTCOMES FOR THIS SESSION</w:t>
      </w:r>
    </w:p>
    <w:p w:rsidR="00AB7884" w:rsidRDefault="00717A10">
      <w:pPr>
        <w:spacing w:after="120"/>
        <w:rPr>
          <w:rFonts w:ascii="Trebuchet MS" w:hAnsi="Trebuchet MS" w:cs="Trebuchet MS"/>
          <w:b/>
          <w:bCs/>
          <w:sz w:val="18"/>
          <w:szCs w:val="18"/>
        </w:rPr>
      </w:pPr>
      <w:r w:rsidRPr="00717A10">
        <w:rPr>
          <w:color w:val="FF0000"/>
          <w:sz w:val="24"/>
          <w:szCs w:val="24"/>
        </w:rPr>
        <w:pict>
          <v:rect id="_x0000_i1067" style="width:425.2pt;height:2pt" o:hralign="center" o:hrstd="t" o:hrnoshade="t" o:hr="t" fillcolor="black" stroked="f"/>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60"/>
      </w:tblGrid>
      <w:tr w:rsidR="00AB7884" w:rsidRPr="0034040D" w:rsidTr="00556CD8">
        <w:trPr>
          <w:trHeight w:val="510"/>
        </w:trPr>
        <w:tc>
          <w:tcPr>
            <w:tcW w:w="8460" w:type="dxa"/>
          </w:tcPr>
          <w:p w:rsidR="00AB7884" w:rsidRPr="0034040D" w:rsidRDefault="00AB7884">
            <w:pP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By the end of this session, you should be able to:</w:t>
            </w:r>
          </w:p>
        </w:tc>
      </w:tr>
      <w:tr w:rsidR="00AB7884" w:rsidRPr="0034040D" w:rsidTr="00556CD8">
        <w:trPr>
          <w:cantSplit/>
          <w:trHeight w:val="1770"/>
        </w:trPr>
        <w:tc>
          <w:tcPr>
            <w:tcW w:w="8460" w:type="dxa"/>
          </w:tcPr>
          <w:p w:rsidR="00AB7884" w:rsidRPr="0034040D" w:rsidRDefault="00AB7884">
            <w:pPr>
              <w:pStyle w:val="ListParagraph"/>
              <w:numPr>
                <w:ilvl w:val="0"/>
                <w:numId w:val="4"/>
              </w:numPr>
              <w:spacing w:before="120"/>
              <w:ind w:left="357" w:hanging="357"/>
              <w:rPr>
                <w:rFonts w:eastAsiaTheme="minorEastAsia"/>
                <w:sz w:val="22"/>
                <w:szCs w:val="22"/>
              </w:rPr>
            </w:pPr>
            <w:r w:rsidRPr="0034040D">
              <w:rPr>
                <w:rFonts w:eastAsiaTheme="minorEastAsia"/>
                <w:sz w:val="22"/>
                <w:szCs w:val="22"/>
              </w:rPr>
              <w:t>Explain the structure and processes involved in the global pharmaceutical industry.</w:t>
            </w:r>
          </w:p>
          <w:p w:rsidR="00AB7884" w:rsidRPr="0034040D" w:rsidRDefault="00AB7884">
            <w:pPr>
              <w:pStyle w:val="ListParagraph"/>
              <w:numPr>
                <w:ilvl w:val="0"/>
                <w:numId w:val="4"/>
              </w:numPr>
              <w:rPr>
                <w:rFonts w:eastAsiaTheme="minorEastAsia"/>
                <w:sz w:val="22"/>
                <w:szCs w:val="22"/>
              </w:rPr>
            </w:pPr>
            <w:r w:rsidRPr="0034040D">
              <w:rPr>
                <w:rFonts w:eastAsiaTheme="minorEastAsia"/>
                <w:sz w:val="22"/>
                <w:szCs w:val="22"/>
              </w:rPr>
              <w:t>Describe the role of the WTO in the global pharmaceutical industry.</w:t>
            </w:r>
          </w:p>
          <w:p w:rsidR="00AB7884" w:rsidRPr="0034040D" w:rsidRDefault="00AB7884">
            <w:pPr>
              <w:pStyle w:val="ListParagraph"/>
              <w:numPr>
                <w:ilvl w:val="0"/>
                <w:numId w:val="4"/>
              </w:numPr>
              <w:rPr>
                <w:rFonts w:eastAsiaTheme="minorEastAsia"/>
                <w:sz w:val="22"/>
                <w:szCs w:val="22"/>
              </w:rPr>
            </w:pPr>
            <w:r w:rsidRPr="0034040D">
              <w:rPr>
                <w:rFonts w:eastAsiaTheme="minorEastAsia"/>
                <w:sz w:val="22"/>
                <w:szCs w:val="22"/>
              </w:rPr>
              <w:t>Analyse the health implications of the TRIPS Agreement.</w:t>
            </w:r>
          </w:p>
          <w:p w:rsidR="00AB7884" w:rsidRPr="0034040D" w:rsidRDefault="00AB7884">
            <w:pPr>
              <w:pStyle w:val="ListParagraph"/>
              <w:numPr>
                <w:ilvl w:val="0"/>
                <w:numId w:val="4"/>
              </w:numPr>
              <w:spacing w:after="120"/>
              <w:ind w:left="357" w:hanging="357"/>
              <w:rPr>
                <w:rFonts w:ascii="Times New Roman" w:eastAsiaTheme="minorEastAsia" w:hAnsi="Times New Roman" w:cs="Times New Roman"/>
                <w:sz w:val="22"/>
                <w:szCs w:val="22"/>
              </w:rPr>
            </w:pPr>
            <w:r w:rsidRPr="0034040D">
              <w:rPr>
                <w:rFonts w:eastAsiaTheme="minorEastAsia"/>
                <w:sz w:val="22"/>
                <w:szCs w:val="22"/>
              </w:rPr>
              <w:t>Discuss access to antiretrovirals (ARVs) as an example of how power relations play themselves out in the global trade arena.</w:t>
            </w:r>
          </w:p>
        </w:tc>
      </w:tr>
    </w:tbl>
    <w:p w:rsidR="00AB7884" w:rsidRDefault="00AB7884" w:rsidP="00854483">
      <w:pPr>
        <w:pStyle w:val="Heading2"/>
        <w:spacing w:before="120"/>
        <w:rPr>
          <w:rFonts w:ascii="Trebuchet MS" w:hAnsi="Trebuchet MS" w:cs="Trebuchet MS"/>
          <w:color w:val="FF0000"/>
          <w:sz w:val="24"/>
          <w:szCs w:val="24"/>
        </w:rPr>
      </w:pPr>
      <w:r>
        <w:rPr>
          <w:rFonts w:ascii="Trebuchet MS" w:hAnsi="Trebuchet MS" w:cs="Trebuchet MS"/>
          <w:sz w:val="28"/>
          <w:szCs w:val="28"/>
        </w:rPr>
        <w:t>2</w:t>
      </w:r>
      <w:r>
        <w:rPr>
          <w:rFonts w:ascii="Trebuchet MS" w:hAnsi="Trebuchet MS" w:cs="Trebuchet MS"/>
          <w:sz w:val="28"/>
          <w:szCs w:val="28"/>
        </w:rPr>
        <w:tab/>
        <w:t xml:space="preserve">READINGS </w:t>
      </w:r>
    </w:p>
    <w:p w:rsidR="00AB7884" w:rsidRDefault="00717A10">
      <w:pPr>
        <w:spacing w:after="120"/>
        <w:rPr>
          <w:color w:val="FF0000"/>
          <w:sz w:val="24"/>
          <w:szCs w:val="24"/>
        </w:rPr>
      </w:pPr>
      <w:r w:rsidRPr="00717A10">
        <w:rPr>
          <w:color w:val="FF0000"/>
          <w:sz w:val="24"/>
          <w:szCs w:val="24"/>
        </w:rPr>
        <w:pict>
          <v:rect id="_x0000_i1068" style="width:425.2pt;height:2pt" o:hralign="center" o:hrstd="t" o:hrnoshade="t" o:hr="t" fillcolor="black" stroked="f"/>
        </w:pict>
      </w:r>
    </w:p>
    <w:tbl>
      <w:tblPr>
        <w:tblW w:w="846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977"/>
        <w:gridCol w:w="5483"/>
      </w:tblGrid>
      <w:tr w:rsidR="00AB7884" w:rsidRPr="0034040D" w:rsidTr="00854483">
        <w:tc>
          <w:tcPr>
            <w:tcW w:w="2977" w:type="dxa"/>
          </w:tcPr>
          <w:p w:rsidR="00AB7884" w:rsidRPr="0034040D" w:rsidRDefault="00AB7884">
            <w:pPr>
              <w:autoSpaceDE w:val="0"/>
              <w:autoSpaceDN w:val="0"/>
              <w:adjustRightInd w:val="0"/>
              <w:spacing w:before="120" w:after="120"/>
              <w:rPr>
                <w:rFonts w:eastAsiaTheme="minorEastAsia"/>
                <w:b/>
                <w:bCs/>
                <w:color w:val="171715"/>
                <w:sz w:val="22"/>
                <w:szCs w:val="22"/>
                <w:lang w:val="en-ZA"/>
              </w:rPr>
            </w:pPr>
            <w:r w:rsidRPr="0034040D">
              <w:rPr>
                <w:rFonts w:eastAsiaTheme="minorEastAsia"/>
                <w:b/>
                <w:bCs/>
                <w:color w:val="171715"/>
                <w:sz w:val="22"/>
                <w:szCs w:val="22"/>
                <w:lang w:val="en-ZA"/>
              </w:rPr>
              <w:t>Authors</w:t>
            </w:r>
          </w:p>
        </w:tc>
        <w:tc>
          <w:tcPr>
            <w:tcW w:w="5483" w:type="dxa"/>
          </w:tcPr>
          <w:p w:rsidR="00AB7884" w:rsidRPr="0034040D" w:rsidRDefault="00AB7884">
            <w:pPr>
              <w:autoSpaceDE w:val="0"/>
              <w:autoSpaceDN w:val="0"/>
              <w:adjustRightInd w:val="0"/>
              <w:spacing w:before="120" w:after="120"/>
              <w:rPr>
                <w:rFonts w:eastAsiaTheme="minorEastAsia"/>
                <w:b/>
                <w:bCs/>
                <w:color w:val="171715"/>
                <w:sz w:val="22"/>
                <w:szCs w:val="22"/>
                <w:lang w:val="en-ZA"/>
              </w:rPr>
            </w:pPr>
            <w:r w:rsidRPr="0034040D">
              <w:rPr>
                <w:rFonts w:eastAsiaTheme="minorEastAsia"/>
                <w:b/>
                <w:bCs/>
                <w:color w:val="171715"/>
                <w:sz w:val="22"/>
                <w:szCs w:val="22"/>
                <w:lang w:val="en-ZA"/>
              </w:rPr>
              <w:t>Reference</w:t>
            </w:r>
          </w:p>
        </w:tc>
      </w:tr>
      <w:tr w:rsidR="00AB7884" w:rsidRPr="0034040D" w:rsidTr="00854483">
        <w:tc>
          <w:tcPr>
            <w:tcW w:w="2977" w:type="dxa"/>
          </w:tcPr>
          <w:p w:rsidR="00AB7884" w:rsidRPr="0034040D" w:rsidRDefault="00AB7884">
            <w:pPr>
              <w:autoSpaceDE w:val="0"/>
              <w:autoSpaceDN w:val="0"/>
              <w:adjustRightInd w:val="0"/>
              <w:spacing w:before="120" w:after="120"/>
              <w:rPr>
                <w:rFonts w:eastAsiaTheme="minorEastAsia"/>
                <w:sz w:val="22"/>
                <w:szCs w:val="22"/>
                <w:lang w:eastAsia="en-ZA"/>
              </w:rPr>
            </w:pPr>
            <w:r w:rsidRPr="0034040D">
              <w:rPr>
                <w:rFonts w:eastAsiaTheme="minorEastAsia"/>
                <w:color w:val="171715"/>
                <w:sz w:val="22"/>
                <w:szCs w:val="22"/>
                <w:lang w:val="en-ZA"/>
              </w:rPr>
              <w:t>People’s Health Movement, Medact, Global Equity Gauge Alliance.</w:t>
            </w:r>
          </w:p>
        </w:tc>
        <w:tc>
          <w:tcPr>
            <w:tcW w:w="5483" w:type="dxa"/>
          </w:tcPr>
          <w:p w:rsidR="00AB7884" w:rsidRPr="0034040D" w:rsidRDefault="00AB7884" w:rsidP="005E1700">
            <w:pPr>
              <w:autoSpaceDE w:val="0"/>
              <w:autoSpaceDN w:val="0"/>
              <w:adjustRightInd w:val="0"/>
              <w:spacing w:before="120" w:after="120"/>
              <w:rPr>
                <w:rFonts w:eastAsiaTheme="minorEastAsia"/>
                <w:sz w:val="22"/>
                <w:szCs w:val="22"/>
                <w:lang w:eastAsia="en-ZA"/>
              </w:rPr>
            </w:pPr>
            <w:r w:rsidRPr="0034040D">
              <w:rPr>
                <w:rFonts w:eastAsiaTheme="minorEastAsia"/>
                <w:color w:val="171715"/>
                <w:sz w:val="22"/>
                <w:szCs w:val="22"/>
                <w:lang w:val="en-ZA"/>
              </w:rPr>
              <w:t xml:space="preserve">(2005). Medicines. </w:t>
            </w:r>
            <w:r w:rsidRPr="0034040D">
              <w:rPr>
                <w:rFonts w:eastAsiaTheme="minorEastAsia"/>
                <w:i/>
                <w:iCs/>
                <w:color w:val="171715"/>
                <w:sz w:val="22"/>
                <w:szCs w:val="22"/>
                <w:lang w:val="en-ZA"/>
              </w:rPr>
              <w:t xml:space="preserve">Global Health Watch, </w:t>
            </w:r>
            <w:r w:rsidRPr="005C1F24">
              <w:rPr>
                <w:rFonts w:eastAsiaTheme="minorEastAsia"/>
                <w:b/>
                <w:i/>
                <w:iCs/>
                <w:color w:val="171715"/>
                <w:sz w:val="28"/>
                <w:szCs w:val="28"/>
                <w:lang w:val="en-ZA"/>
              </w:rPr>
              <w:t>2005─2006</w:t>
            </w:r>
            <w:r w:rsidRPr="0034040D">
              <w:rPr>
                <w:rFonts w:eastAsiaTheme="minorEastAsia"/>
                <w:i/>
                <w:iCs/>
                <w:color w:val="171715"/>
                <w:sz w:val="22"/>
                <w:szCs w:val="22"/>
                <w:lang w:val="en-ZA"/>
              </w:rPr>
              <w:t>: An Alternative World Health Report.</w:t>
            </w:r>
            <w:r w:rsidRPr="0034040D">
              <w:rPr>
                <w:rFonts w:eastAsiaTheme="minorEastAsia"/>
                <w:color w:val="171715"/>
                <w:sz w:val="22"/>
                <w:szCs w:val="22"/>
                <w:lang w:val="en-ZA"/>
              </w:rPr>
              <w:t xml:space="preserve"> Zed Books Ltd, UNISA Press: 100</w:t>
            </w:r>
            <w:r w:rsidR="005E1700">
              <w:rPr>
                <w:rFonts w:eastAsiaTheme="minorEastAsia"/>
                <w:color w:val="171715"/>
                <w:sz w:val="22"/>
                <w:szCs w:val="22"/>
                <w:lang w:val="en-ZA"/>
              </w:rPr>
              <w:t>-</w:t>
            </w:r>
            <w:r w:rsidRPr="0034040D">
              <w:rPr>
                <w:rFonts w:eastAsiaTheme="minorEastAsia"/>
                <w:color w:val="171715"/>
                <w:sz w:val="22"/>
                <w:szCs w:val="22"/>
                <w:lang w:val="en-ZA"/>
              </w:rPr>
              <w:t>118.</w:t>
            </w:r>
          </w:p>
        </w:tc>
      </w:tr>
      <w:tr w:rsidR="00AB7884" w:rsidRPr="0034040D" w:rsidTr="00854483">
        <w:tc>
          <w:tcPr>
            <w:tcW w:w="2977" w:type="dxa"/>
          </w:tcPr>
          <w:p w:rsidR="00AB7884" w:rsidRPr="0034040D" w:rsidRDefault="00AB7884">
            <w:pPr>
              <w:autoSpaceDE w:val="0"/>
              <w:autoSpaceDN w:val="0"/>
              <w:adjustRightInd w:val="0"/>
              <w:spacing w:before="120" w:after="120"/>
              <w:rPr>
                <w:rFonts w:eastAsiaTheme="minorEastAsia"/>
                <w:sz w:val="22"/>
                <w:szCs w:val="22"/>
                <w:lang w:val="en-US"/>
              </w:rPr>
            </w:pPr>
            <w:r w:rsidRPr="0034040D">
              <w:rPr>
                <w:rFonts w:eastAsiaTheme="minorEastAsia"/>
                <w:sz w:val="22"/>
                <w:szCs w:val="22"/>
                <w:lang w:val="en-US"/>
              </w:rPr>
              <w:t>Lee, K. &amp; Collin, J.</w:t>
            </w:r>
          </w:p>
        </w:tc>
        <w:tc>
          <w:tcPr>
            <w:tcW w:w="5483" w:type="dxa"/>
          </w:tcPr>
          <w:p w:rsidR="00AB7884" w:rsidRPr="0034040D" w:rsidRDefault="00AB7884" w:rsidP="00251C3B">
            <w:pPr>
              <w:autoSpaceDE w:val="0"/>
              <w:autoSpaceDN w:val="0"/>
              <w:adjustRightInd w:val="0"/>
              <w:spacing w:before="120" w:after="120"/>
              <w:rPr>
                <w:rFonts w:eastAsiaTheme="minorEastAsia"/>
                <w:sz w:val="22"/>
                <w:szCs w:val="22"/>
                <w:lang w:val="en-US"/>
              </w:rPr>
            </w:pPr>
            <w:r w:rsidRPr="0034040D">
              <w:rPr>
                <w:rFonts w:eastAsiaTheme="minorEastAsia"/>
                <w:sz w:val="22"/>
                <w:szCs w:val="22"/>
                <w:lang w:val="en-US"/>
              </w:rPr>
              <w:t xml:space="preserve">(2005). The Globalization of the Pharmaceutical Industry. </w:t>
            </w:r>
            <w:r w:rsidRPr="0034040D">
              <w:rPr>
                <w:rFonts w:eastAsiaTheme="minorEastAsia"/>
                <w:i/>
                <w:iCs/>
                <w:sz w:val="22"/>
                <w:szCs w:val="22"/>
                <w:lang w:val="en-US"/>
              </w:rPr>
              <w:t>Global Change and Health</w:t>
            </w:r>
            <w:r w:rsidRPr="0034040D">
              <w:rPr>
                <w:rFonts w:eastAsiaTheme="minorEastAsia"/>
                <w:sz w:val="22"/>
                <w:szCs w:val="22"/>
                <w:lang w:val="en-US"/>
              </w:rPr>
              <w:t xml:space="preserve">. Open </w:t>
            </w:r>
            <w:r w:rsidRPr="00574D35">
              <w:rPr>
                <w:rFonts w:eastAsiaTheme="minorEastAsia"/>
                <w:sz w:val="22"/>
                <w:szCs w:val="22"/>
                <w:lang w:val="en-US"/>
              </w:rPr>
              <w:t>University Press</w:t>
            </w:r>
            <w:r w:rsidR="00251C3B" w:rsidRPr="00574D35">
              <w:rPr>
                <w:rFonts w:eastAsiaTheme="minorEastAsia"/>
                <w:sz w:val="22"/>
                <w:szCs w:val="22"/>
                <w:lang w:val="en-US"/>
              </w:rPr>
              <w:t>:</w:t>
            </w:r>
            <w:r w:rsidR="00574D35" w:rsidRPr="00574D35">
              <w:rPr>
                <w:rFonts w:eastAsiaTheme="minorEastAsia"/>
                <w:sz w:val="22"/>
                <w:szCs w:val="22"/>
                <w:lang w:val="en-US"/>
              </w:rPr>
              <w:t xml:space="preserve"> 100-101.</w:t>
            </w:r>
            <w:r w:rsidR="00251C3B">
              <w:rPr>
                <w:rFonts w:eastAsiaTheme="minorEastAsia"/>
                <w:sz w:val="22"/>
                <w:szCs w:val="22"/>
                <w:lang w:val="en-US"/>
              </w:rPr>
              <w:t xml:space="preserve"> </w:t>
            </w:r>
          </w:p>
        </w:tc>
      </w:tr>
      <w:tr w:rsidR="00AB7884" w:rsidRPr="0034040D" w:rsidTr="00854483">
        <w:tc>
          <w:tcPr>
            <w:tcW w:w="2977" w:type="dxa"/>
          </w:tcPr>
          <w:p w:rsidR="00AB7884" w:rsidRPr="0034040D" w:rsidRDefault="00AB7884">
            <w:pPr>
              <w:autoSpaceDE w:val="0"/>
              <w:autoSpaceDN w:val="0"/>
              <w:adjustRightInd w:val="0"/>
              <w:spacing w:before="120" w:after="120"/>
              <w:rPr>
                <w:rFonts w:eastAsiaTheme="minorEastAsia"/>
                <w:sz w:val="22"/>
                <w:szCs w:val="22"/>
                <w:lang w:val="en-US"/>
              </w:rPr>
            </w:pPr>
            <w:r w:rsidRPr="0034040D">
              <w:rPr>
                <w:rFonts w:eastAsiaTheme="minorEastAsia"/>
                <w:sz w:val="22"/>
                <w:szCs w:val="22"/>
              </w:rPr>
              <w:t>Aldis, W. L.</w:t>
            </w:r>
          </w:p>
        </w:tc>
        <w:tc>
          <w:tcPr>
            <w:tcW w:w="5483" w:type="dxa"/>
          </w:tcPr>
          <w:p w:rsidR="00AB7884" w:rsidRPr="0034040D" w:rsidRDefault="00AB7884">
            <w:pPr>
              <w:spacing w:before="120" w:after="120"/>
              <w:rPr>
                <w:rFonts w:eastAsiaTheme="minorEastAsia"/>
                <w:sz w:val="22"/>
                <w:szCs w:val="22"/>
                <w:lang w:val="en-US"/>
              </w:rPr>
            </w:pPr>
            <w:r w:rsidRPr="0034040D">
              <w:rPr>
                <w:rFonts w:eastAsiaTheme="minorEastAsia"/>
                <w:sz w:val="22"/>
                <w:szCs w:val="22"/>
              </w:rPr>
              <w:t xml:space="preserve">(2010). Industry influence: Big Pharma’s long tentacles. </w:t>
            </w:r>
            <w:r w:rsidRPr="0034040D">
              <w:rPr>
                <w:rFonts w:eastAsiaTheme="minorEastAsia"/>
                <w:i/>
                <w:iCs/>
                <w:sz w:val="22"/>
                <w:szCs w:val="22"/>
              </w:rPr>
              <w:t>British Medical Journal,</w:t>
            </w:r>
            <w:r w:rsidRPr="0034040D">
              <w:rPr>
                <w:rFonts w:eastAsiaTheme="minorEastAsia"/>
                <w:sz w:val="22"/>
                <w:szCs w:val="22"/>
              </w:rPr>
              <w:t xml:space="preserve"> 2010: 340:c941</w:t>
            </w:r>
            <w:r w:rsidR="005C1F24">
              <w:rPr>
                <w:rFonts w:eastAsiaTheme="minorEastAsia"/>
                <w:sz w:val="22"/>
                <w:szCs w:val="22"/>
              </w:rPr>
              <w:t xml:space="preserve"> [2 pages].</w:t>
            </w:r>
          </w:p>
        </w:tc>
      </w:tr>
      <w:tr w:rsidR="00AB7884" w:rsidRPr="0034040D" w:rsidTr="00854483">
        <w:tc>
          <w:tcPr>
            <w:tcW w:w="2977" w:type="dxa"/>
          </w:tcPr>
          <w:p w:rsidR="00AB7884" w:rsidRPr="0034040D" w:rsidRDefault="00AB7884">
            <w:pPr>
              <w:autoSpaceDE w:val="0"/>
              <w:autoSpaceDN w:val="0"/>
              <w:adjustRightInd w:val="0"/>
              <w:spacing w:before="120" w:after="120"/>
              <w:rPr>
                <w:rFonts w:eastAsiaTheme="minorEastAsia"/>
                <w:sz w:val="22"/>
                <w:szCs w:val="22"/>
              </w:rPr>
            </w:pPr>
            <w:r w:rsidRPr="0034040D">
              <w:rPr>
                <w:rFonts w:eastAsiaTheme="minorEastAsia"/>
                <w:sz w:val="22"/>
                <w:szCs w:val="22"/>
                <w:lang w:val="en-ZA"/>
              </w:rPr>
              <w:t>WHO.</w:t>
            </w:r>
          </w:p>
        </w:tc>
        <w:tc>
          <w:tcPr>
            <w:tcW w:w="5483" w:type="dxa"/>
          </w:tcPr>
          <w:p w:rsidR="00AB7884" w:rsidRPr="0034040D" w:rsidRDefault="00AB7884" w:rsidP="00A76DF7">
            <w:pPr>
              <w:spacing w:before="120" w:after="120"/>
              <w:rPr>
                <w:rFonts w:eastAsiaTheme="minorEastAsia"/>
                <w:sz w:val="22"/>
                <w:szCs w:val="22"/>
              </w:rPr>
            </w:pPr>
            <w:r w:rsidRPr="0034040D">
              <w:rPr>
                <w:rFonts w:eastAsiaTheme="minorEastAsia"/>
                <w:sz w:val="22"/>
                <w:szCs w:val="22"/>
                <w:lang w:val="en-ZA"/>
              </w:rPr>
              <w:t xml:space="preserve">(2008). </w:t>
            </w:r>
            <w:r w:rsidRPr="0034040D">
              <w:rPr>
                <w:rFonts w:eastAsiaTheme="minorEastAsia"/>
                <w:i/>
                <w:iCs/>
                <w:sz w:val="22"/>
                <w:szCs w:val="22"/>
                <w:lang w:val="en-ZA"/>
              </w:rPr>
              <w:t>Defining “Counterfeit Medicines” from the Perspective of Public Health</w:t>
            </w:r>
            <w:r w:rsidRPr="0034040D">
              <w:rPr>
                <w:rFonts w:eastAsiaTheme="minorEastAsia"/>
                <w:sz w:val="22"/>
                <w:szCs w:val="22"/>
                <w:lang w:val="en-ZA"/>
              </w:rPr>
              <w:t>, WHO: Regional Office for South-East Asia: 14</w:t>
            </w:r>
            <w:r w:rsidRPr="0034040D">
              <w:rPr>
                <w:rFonts w:eastAsiaTheme="minorEastAsia"/>
                <w:sz w:val="22"/>
                <w:szCs w:val="22"/>
              </w:rPr>
              <w:t>─</w:t>
            </w:r>
            <w:r w:rsidRPr="0034040D">
              <w:rPr>
                <w:rFonts w:eastAsiaTheme="minorEastAsia"/>
                <w:sz w:val="22"/>
                <w:szCs w:val="22"/>
                <w:lang w:val="en-ZA"/>
              </w:rPr>
              <w:t>17.</w:t>
            </w:r>
            <w:r w:rsidR="00A76DF7">
              <w:rPr>
                <w:rFonts w:eastAsiaTheme="minorEastAsia"/>
                <w:sz w:val="22"/>
                <w:szCs w:val="22"/>
                <w:lang w:val="en-ZA"/>
              </w:rPr>
              <w:t xml:space="preserve"> [Full document on DVD Unit 2]</w:t>
            </w:r>
            <w:r w:rsidR="00A35F3D">
              <w:rPr>
                <w:rFonts w:eastAsiaTheme="minorEastAsia"/>
                <w:sz w:val="22"/>
                <w:szCs w:val="22"/>
                <w:lang w:val="en-ZA"/>
              </w:rPr>
              <w:t xml:space="preserve"> [1-27].</w:t>
            </w:r>
          </w:p>
        </w:tc>
      </w:tr>
      <w:tr w:rsidR="00AB7884" w:rsidRPr="0034040D" w:rsidTr="00854483">
        <w:tc>
          <w:tcPr>
            <w:tcW w:w="2977" w:type="dxa"/>
          </w:tcPr>
          <w:p w:rsidR="00AB7884" w:rsidRPr="0034040D" w:rsidRDefault="00AB7884">
            <w:pPr>
              <w:autoSpaceDE w:val="0"/>
              <w:autoSpaceDN w:val="0"/>
              <w:adjustRightInd w:val="0"/>
              <w:spacing w:before="120" w:after="120"/>
              <w:rPr>
                <w:rFonts w:eastAsiaTheme="minorEastAsia"/>
                <w:sz w:val="22"/>
                <w:szCs w:val="22"/>
                <w:lang w:val="en-US"/>
              </w:rPr>
            </w:pPr>
            <w:r w:rsidRPr="0034040D">
              <w:rPr>
                <w:rFonts w:eastAsiaTheme="minorEastAsia"/>
                <w:sz w:val="22"/>
                <w:szCs w:val="22"/>
                <w:lang w:eastAsia="en-ZA"/>
              </w:rPr>
              <w:t>T’Hoen, E., Berger, J., Calmy, A., &amp; Moon, S.</w:t>
            </w:r>
          </w:p>
        </w:tc>
        <w:tc>
          <w:tcPr>
            <w:tcW w:w="5483" w:type="dxa"/>
          </w:tcPr>
          <w:p w:rsidR="00AB7884" w:rsidRPr="00556CD8" w:rsidRDefault="00AB7884">
            <w:pPr>
              <w:spacing w:before="120" w:after="120"/>
              <w:rPr>
                <w:rFonts w:eastAsiaTheme="minorEastAsia"/>
                <w:sz w:val="22"/>
                <w:szCs w:val="22"/>
                <w:lang w:val="en-US"/>
              </w:rPr>
            </w:pPr>
            <w:r w:rsidRPr="00556CD8">
              <w:rPr>
                <w:rFonts w:eastAsiaTheme="minorEastAsia"/>
                <w:sz w:val="22"/>
                <w:szCs w:val="22"/>
                <w:lang w:eastAsia="en-ZA"/>
              </w:rPr>
              <w:t xml:space="preserve">(2011). </w:t>
            </w:r>
            <w:r w:rsidRPr="00556CD8">
              <w:rPr>
                <w:rFonts w:eastAsiaTheme="minorEastAsia"/>
                <w:kern w:val="36"/>
                <w:sz w:val="22"/>
                <w:szCs w:val="22"/>
                <w:lang w:eastAsia="en-ZA"/>
              </w:rPr>
              <w:t>Driving a decade of change: HIV/AIDS, patents and access to medicines for all.</w:t>
            </w:r>
            <w:r w:rsidRPr="00556CD8">
              <w:rPr>
                <w:rFonts w:eastAsiaTheme="minorEastAsia"/>
                <w:i/>
                <w:iCs/>
                <w:sz w:val="22"/>
                <w:szCs w:val="22"/>
                <w:lang w:eastAsia="en-ZA"/>
              </w:rPr>
              <w:t xml:space="preserve"> Journal of the International AIDS Society, </w:t>
            </w:r>
            <w:r w:rsidRPr="00556CD8">
              <w:rPr>
                <w:rFonts w:eastAsiaTheme="minorEastAsia"/>
                <w:sz w:val="22"/>
                <w:szCs w:val="22"/>
                <w:lang w:eastAsia="en-ZA"/>
              </w:rPr>
              <w:t xml:space="preserve">14(15). [Online], Available: </w:t>
            </w:r>
            <w:hyperlink r:id="rId49" w:history="1">
              <w:r w:rsidRPr="00556CD8">
                <w:rPr>
                  <w:rStyle w:val="Hyperlink"/>
                  <w:rFonts w:ascii="Arial" w:eastAsiaTheme="minorEastAsia" w:hAnsi="Arial" w:cs="Arial"/>
                  <w:sz w:val="22"/>
                  <w:szCs w:val="22"/>
                  <w:u w:val="none"/>
                  <w:lang w:eastAsia="en-ZA"/>
                </w:rPr>
                <w:t>http://www.biomedcentral.com/1758-2652/14/15</w:t>
              </w:r>
            </w:hyperlink>
            <w:r w:rsidRPr="00556CD8">
              <w:rPr>
                <w:rFonts w:eastAsiaTheme="minorEastAsia"/>
                <w:sz w:val="22"/>
                <w:szCs w:val="22"/>
                <w:lang w:eastAsia="en-ZA"/>
              </w:rPr>
              <w:t xml:space="preserve"> [Downloaded: 3.9.12].</w:t>
            </w:r>
          </w:p>
        </w:tc>
      </w:tr>
      <w:tr w:rsidR="00AB7884" w:rsidRPr="0034040D" w:rsidTr="00854483">
        <w:tc>
          <w:tcPr>
            <w:tcW w:w="2977" w:type="dxa"/>
          </w:tcPr>
          <w:p w:rsidR="00AB7884" w:rsidRPr="0034040D" w:rsidRDefault="00AB7884">
            <w:pPr>
              <w:autoSpaceDE w:val="0"/>
              <w:autoSpaceDN w:val="0"/>
              <w:adjustRightInd w:val="0"/>
              <w:spacing w:before="120" w:after="120"/>
              <w:rPr>
                <w:rFonts w:eastAsiaTheme="minorEastAsia"/>
                <w:sz w:val="22"/>
                <w:szCs w:val="22"/>
                <w:lang w:val="en-ZA"/>
              </w:rPr>
            </w:pPr>
            <w:r w:rsidRPr="0034040D">
              <w:rPr>
                <w:rFonts w:eastAsiaTheme="minorEastAsia"/>
                <w:sz w:val="22"/>
                <w:szCs w:val="22"/>
              </w:rPr>
              <w:t>People’s Health Movement, Medact, Health Action International, Medico’s International and Third World Network.</w:t>
            </w:r>
          </w:p>
        </w:tc>
        <w:tc>
          <w:tcPr>
            <w:tcW w:w="5483" w:type="dxa"/>
          </w:tcPr>
          <w:p w:rsidR="00AB7884" w:rsidRPr="00556CD8" w:rsidRDefault="00AB7884">
            <w:pPr>
              <w:spacing w:before="120" w:after="120"/>
              <w:rPr>
                <w:rFonts w:eastAsiaTheme="minorEastAsia"/>
                <w:sz w:val="22"/>
                <w:szCs w:val="22"/>
                <w:lang w:val="en-ZA"/>
              </w:rPr>
            </w:pPr>
            <w:r w:rsidRPr="00556CD8">
              <w:rPr>
                <w:rFonts w:eastAsiaTheme="minorEastAsia"/>
                <w:sz w:val="22"/>
                <w:szCs w:val="22"/>
              </w:rPr>
              <w:t xml:space="preserve">(2011). The pharmaceutical industry and pharmaceutical endeavour. </w:t>
            </w:r>
            <w:r w:rsidRPr="00556CD8">
              <w:rPr>
                <w:rFonts w:eastAsiaTheme="minorEastAsia"/>
                <w:i/>
                <w:iCs/>
                <w:sz w:val="22"/>
                <w:szCs w:val="22"/>
              </w:rPr>
              <w:t>Global Health Watch 3: An Alternative World Health Rep</w:t>
            </w:r>
            <w:r w:rsidRPr="00556CD8">
              <w:rPr>
                <w:rFonts w:eastAsiaTheme="minorEastAsia"/>
                <w:sz w:val="22"/>
                <w:szCs w:val="22"/>
              </w:rPr>
              <w:t>ort. Zed Books Ltd: London &amp; New York: 275-288.</w:t>
            </w:r>
          </w:p>
        </w:tc>
      </w:tr>
      <w:tr w:rsidR="00AB7884" w:rsidRPr="0034040D" w:rsidTr="00854483">
        <w:tc>
          <w:tcPr>
            <w:tcW w:w="2977" w:type="dxa"/>
          </w:tcPr>
          <w:p w:rsidR="00AB7884" w:rsidRPr="0034040D" w:rsidRDefault="00AB7884">
            <w:pPr>
              <w:autoSpaceDE w:val="0"/>
              <w:autoSpaceDN w:val="0"/>
              <w:adjustRightInd w:val="0"/>
              <w:spacing w:before="120" w:after="120"/>
              <w:rPr>
                <w:rFonts w:eastAsiaTheme="minorEastAsia"/>
                <w:sz w:val="22"/>
                <w:szCs w:val="22"/>
              </w:rPr>
            </w:pPr>
            <w:r w:rsidRPr="0034040D">
              <w:rPr>
                <w:rFonts w:eastAsiaTheme="minorEastAsia"/>
                <w:sz w:val="22"/>
                <w:szCs w:val="22"/>
              </w:rPr>
              <w:t xml:space="preserve">People’s Health Movement, Medact, Health Action International, Medico’s International and Third World Network. </w:t>
            </w:r>
          </w:p>
        </w:tc>
        <w:tc>
          <w:tcPr>
            <w:tcW w:w="5483" w:type="dxa"/>
          </w:tcPr>
          <w:p w:rsidR="00AB7884" w:rsidRPr="0034040D" w:rsidRDefault="00AB7884">
            <w:pPr>
              <w:spacing w:before="120" w:after="120"/>
              <w:rPr>
                <w:rFonts w:eastAsiaTheme="minorEastAsia"/>
                <w:sz w:val="22"/>
                <w:szCs w:val="22"/>
              </w:rPr>
            </w:pPr>
            <w:r w:rsidRPr="0034040D">
              <w:rPr>
                <w:rFonts w:eastAsiaTheme="minorEastAsia"/>
                <w:sz w:val="22"/>
                <w:szCs w:val="22"/>
              </w:rPr>
              <w:t xml:space="preserve">(2011). World Health Organisation: Captive to conflicting interests. </w:t>
            </w:r>
            <w:r w:rsidRPr="0034040D">
              <w:rPr>
                <w:rFonts w:eastAsiaTheme="minorEastAsia"/>
                <w:i/>
                <w:iCs/>
                <w:sz w:val="22"/>
                <w:szCs w:val="22"/>
              </w:rPr>
              <w:t>Global Health Watch 3: An Alternative World Health Rep</w:t>
            </w:r>
            <w:r w:rsidRPr="0034040D">
              <w:rPr>
                <w:rFonts w:eastAsiaTheme="minorEastAsia"/>
                <w:sz w:val="22"/>
                <w:szCs w:val="22"/>
              </w:rPr>
              <w:t>ort. Zed Books Ltd: London &amp; New York, 237─243.</w:t>
            </w:r>
          </w:p>
        </w:tc>
      </w:tr>
    </w:tbl>
    <w:p w:rsidR="00AB7884" w:rsidRDefault="00AB7884">
      <w:pPr>
        <w:pStyle w:val="Heading2"/>
        <w:rPr>
          <w:rFonts w:ascii="Trebuchet MS" w:hAnsi="Trebuchet MS" w:cs="Trebuchet MS"/>
          <w:color w:val="FF0000"/>
          <w:sz w:val="24"/>
          <w:szCs w:val="24"/>
        </w:rPr>
      </w:pPr>
      <w:r>
        <w:rPr>
          <w:rFonts w:ascii="Trebuchet MS" w:hAnsi="Trebuchet MS" w:cs="Trebuchet MS"/>
          <w:sz w:val="28"/>
          <w:szCs w:val="28"/>
        </w:rPr>
        <w:lastRenderedPageBreak/>
        <w:t>3</w:t>
      </w:r>
      <w:r>
        <w:rPr>
          <w:rFonts w:ascii="Trebuchet MS" w:hAnsi="Trebuchet MS" w:cs="Trebuchet MS"/>
          <w:sz w:val="28"/>
          <w:szCs w:val="28"/>
        </w:rPr>
        <w:tab/>
        <w:t xml:space="preserve">THE GLOBAL PHARMACEUTICAL INDUSTRY </w:t>
      </w:r>
    </w:p>
    <w:p w:rsidR="00AB7884" w:rsidRDefault="00717A10">
      <w:pPr>
        <w:spacing w:after="120"/>
        <w:rPr>
          <w:rFonts w:ascii="Trebuchet MS" w:hAnsi="Trebuchet MS" w:cs="Trebuchet MS"/>
          <w:b/>
          <w:bCs/>
          <w:sz w:val="18"/>
          <w:szCs w:val="18"/>
        </w:rPr>
      </w:pPr>
      <w:r w:rsidRPr="00717A10">
        <w:rPr>
          <w:color w:val="FF0000"/>
          <w:sz w:val="24"/>
          <w:szCs w:val="24"/>
        </w:rPr>
        <w:pict>
          <v:rect id="_x0000_i1069" style="width:425.2pt;height:2pt" o:hralign="center" o:hrstd="t" o:hrnoshade="t" o:hr="t" fillcolor="black" stroked="f"/>
        </w:pic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AB7884" w:rsidRPr="0034040D">
        <w:tc>
          <w:tcPr>
            <w:tcW w:w="8460" w:type="dxa"/>
          </w:tcPr>
          <w:p w:rsidR="00AB7884" w:rsidRPr="0034040D" w:rsidRDefault="00AB7884">
            <w:pP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 xml:space="preserve">TASK 1 </w:t>
            </w:r>
            <w:r w:rsidRPr="0034040D">
              <w:rPr>
                <w:rFonts w:ascii="Times New Roman" w:eastAsiaTheme="minorEastAsia" w:hAnsi="Times New Roman" w:cs="Times New Roman"/>
                <w:b/>
                <w:bCs/>
                <w:sz w:val="22"/>
                <w:szCs w:val="22"/>
              </w:rPr>
              <w:t>─</w:t>
            </w:r>
            <w:r w:rsidRPr="0034040D">
              <w:rPr>
                <w:rFonts w:ascii="Trebuchet MS" w:eastAsiaTheme="minorEastAsia" w:hAnsi="Trebuchet MS" w:cs="Trebuchet MS"/>
                <w:b/>
                <w:bCs/>
                <w:sz w:val="22"/>
                <w:szCs w:val="22"/>
              </w:rPr>
              <w:t xml:space="preserve"> Analyse power relations in the global pharmaceutical industry</w:t>
            </w:r>
          </w:p>
          <w:p w:rsidR="00AB7884" w:rsidRPr="0034040D" w:rsidRDefault="00AB7884">
            <w:pPr>
              <w:autoSpaceDE w:val="0"/>
              <w:autoSpaceDN w:val="0"/>
              <w:adjustRightInd w:val="0"/>
              <w:spacing w:before="240" w:after="120"/>
              <w:rPr>
                <w:rFonts w:ascii="Trebuchet MS" w:eastAsiaTheme="minorEastAsia" w:hAnsi="Trebuchet MS" w:cs="Trebuchet MS"/>
                <w:color w:val="171715"/>
                <w:sz w:val="22"/>
                <w:szCs w:val="22"/>
                <w:lang w:val="en-ZA"/>
              </w:rPr>
            </w:pPr>
            <w:r w:rsidRPr="0034040D">
              <w:rPr>
                <w:rFonts w:ascii="Trebuchet MS" w:eastAsiaTheme="minorEastAsia" w:hAnsi="Trebuchet MS" w:cs="Trebuchet MS"/>
                <w:b/>
                <w:bCs/>
                <w:color w:val="171715"/>
                <w:sz w:val="22"/>
                <w:szCs w:val="22"/>
                <w:lang w:val="en-ZA"/>
              </w:rPr>
              <w:t>READINGS</w:t>
            </w:r>
            <w:r w:rsidRPr="0034040D">
              <w:rPr>
                <w:rFonts w:ascii="Trebuchet MS" w:eastAsiaTheme="minorEastAsia" w:hAnsi="Trebuchet MS" w:cs="Trebuchet MS"/>
                <w:b/>
                <w:bCs/>
                <w:color w:val="171715"/>
                <w:sz w:val="22"/>
                <w:szCs w:val="22"/>
                <w:lang w:val="en-ZA"/>
              </w:rPr>
              <w:br/>
            </w:r>
            <w:r w:rsidRPr="0034040D">
              <w:rPr>
                <w:rFonts w:ascii="Trebuchet MS" w:eastAsiaTheme="minorEastAsia" w:hAnsi="Trebuchet MS" w:cs="Trebuchet MS"/>
                <w:color w:val="171715"/>
                <w:sz w:val="22"/>
                <w:szCs w:val="22"/>
                <w:lang w:val="en-ZA"/>
              </w:rPr>
              <w:t xml:space="preserve">People’s Health Movement, Medact, Global Equity Gauge Alliance (2005). Medicines. </w:t>
            </w:r>
            <w:r w:rsidRPr="0034040D">
              <w:rPr>
                <w:rFonts w:ascii="Trebuchet MS" w:eastAsiaTheme="minorEastAsia" w:hAnsi="Trebuchet MS" w:cs="Trebuchet MS"/>
                <w:i/>
                <w:iCs/>
                <w:color w:val="171715"/>
                <w:sz w:val="22"/>
                <w:szCs w:val="22"/>
                <w:lang w:val="en-ZA"/>
              </w:rPr>
              <w:t>Global Health Watch, 2005</w:t>
            </w:r>
            <w:r w:rsidRPr="0034040D">
              <w:rPr>
                <w:rFonts w:ascii="Times New Roman" w:eastAsiaTheme="minorEastAsia" w:hAnsi="Times New Roman" w:cs="Times New Roman"/>
                <w:i/>
                <w:iCs/>
                <w:color w:val="171715"/>
                <w:sz w:val="22"/>
                <w:szCs w:val="22"/>
                <w:lang w:val="en-ZA"/>
              </w:rPr>
              <w:t>─</w:t>
            </w:r>
            <w:r w:rsidRPr="0034040D">
              <w:rPr>
                <w:rFonts w:ascii="Trebuchet MS" w:eastAsiaTheme="minorEastAsia" w:hAnsi="Trebuchet MS" w:cs="Trebuchet MS"/>
                <w:i/>
                <w:iCs/>
                <w:color w:val="171715"/>
                <w:sz w:val="22"/>
                <w:szCs w:val="22"/>
                <w:lang w:val="en-ZA"/>
              </w:rPr>
              <w:t>2006: An Alternative World Health Report.</w:t>
            </w:r>
            <w:r w:rsidRPr="0034040D">
              <w:rPr>
                <w:rFonts w:ascii="Trebuchet MS" w:eastAsiaTheme="minorEastAsia" w:hAnsi="Trebuchet MS" w:cs="Trebuchet MS"/>
                <w:color w:val="171715"/>
                <w:sz w:val="22"/>
                <w:szCs w:val="22"/>
                <w:lang w:val="en-ZA"/>
              </w:rPr>
              <w:t xml:space="preserve"> Zed Books Ltd, UNISA Press: 100</w:t>
            </w:r>
            <w:r w:rsidRPr="0034040D">
              <w:rPr>
                <w:rFonts w:ascii="Times New Roman" w:eastAsiaTheme="minorEastAsia" w:hAnsi="Times New Roman" w:cs="Times New Roman"/>
                <w:color w:val="171715"/>
                <w:sz w:val="22"/>
                <w:szCs w:val="22"/>
                <w:lang w:val="en-ZA"/>
              </w:rPr>
              <w:t>─</w:t>
            </w:r>
            <w:r w:rsidRPr="0034040D">
              <w:rPr>
                <w:rFonts w:ascii="Trebuchet MS" w:eastAsiaTheme="minorEastAsia" w:hAnsi="Trebuchet MS" w:cs="Trebuchet MS"/>
                <w:color w:val="171715"/>
                <w:sz w:val="22"/>
                <w:szCs w:val="22"/>
                <w:lang w:val="en-ZA"/>
              </w:rPr>
              <w:t>118.</w:t>
            </w:r>
          </w:p>
          <w:p w:rsidR="00AB7884" w:rsidRPr="0034040D" w:rsidRDefault="00AB7884">
            <w:pPr>
              <w:autoSpaceDE w:val="0"/>
              <w:autoSpaceDN w:val="0"/>
              <w:adjustRightInd w:val="0"/>
              <w:spacing w:before="120" w:after="120"/>
              <w:rPr>
                <w:rFonts w:ascii="Trebuchet MS" w:eastAsiaTheme="minorEastAsia" w:hAnsi="Trebuchet MS" w:cs="Trebuchet MS"/>
                <w:sz w:val="22"/>
                <w:szCs w:val="22"/>
                <w:lang w:val="en-US"/>
              </w:rPr>
            </w:pPr>
            <w:r w:rsidRPr="0034040D">
              <w:rPr>
                <w:rFonts w:ascii="Trebuchet MS" w:eastAsiaTheme="minorEastAsia" w:hAnsi="Trebuchet MS" w:cs="Trebuchet MS"/>
                <w:sz w:val="22"/>
                <w:szCs w:val="22"/>
                <w:lang w:val="en-US"/>
              </w:rPr>
              <w:t xml:space="preserve">Lee, K. &amp; Collin, J. (2005). The Globalization of the Pharmaceutical Industry. </w:t>
            </w:r>
            <w:r w:rsidRPr="0034040D">
              <w:rPr>
                <w:rFonts w:ascii="Trebuchet MS" w:eastAsiaTheme="minorEastAsia" w:hAnsi="Trebuchet MS" w:cs="Trebuchet MS"/>
                <w:i/>
                <w:iCs/>
                <w:sz w:val="22"/>
                <w:szCs w:val="22"/>
                <w:lang w:val="en-US"/>
              </w:rPr>
              <w:t>Global Change and Health</w:t>
            </w:r>
            <w:r w:rsidRPr="0034040D">
              <w:rPr>
                <w:rFonts w:ascii="Trebuchet MS" w:eastAsiaTheme="minorEastAsia" w:hAnsi="Trebuchet MS" w:cs="Trebuchet MS"/>
                <w:sz w:val="22"/>
                <w:szCs w:val="22"/>
                <w:lang w:val="en-US"/>
              </w:rPr>
              <w:t xml:space="preserve">. Open University Press: </w:t>
            </w:r>
            <w:r w:rsidRPr="0034040D">
              <w:rPr>
                <w:rFonts w:ascii="Trebuchet MS" w:eastAsiaTheme="minorEastAsia" w:hAnsi="Trebuchet MS" w:cs="Trebuchet MS"/>
                <w:sz w:val="22"/>
                <w:szCs w:val="22"/>
                <w:highlight w:val="cyan"/>
                <w:lang w:val="en-US"/>
              </w:rPr>
              <w:t>pages</w:t>
            </w:r>
            <w:r w:rsidRPr="0034040D">
              <w:rPr>
                <w:rFonts w:ascii="Trebuchet MS" w:eastAsiaTheme="minorEastAsia" w:hAnsi="Trebuchet MS" w:cs="Trebuchet MS"/>
                <w:sz w:val="22"/>
                <w:szCs w:val="22"/>
                <w:lang w:val="en-US"/>
              </w:rPr>
              <w:t>.</w:t>
            </w:r>
          </w:p>
          <w:p w:rsidR="00AB7884" w:rsidRPr="0034040D" w:rsidRDefault="00AB7884">
            <w:pPr>
              <w:autoSpaceDE w:val="0"/>
              <w:autoSpaceDN w:val="0"/>
              <w:adjustRightInd w:val="0"/>
              <w:rPr>
                <w:rFonts w:ascii="Trebuchet MS" w:eastAsiaTheme="minorEastAsia" w:hAnsi="Trebuchet MS" w:cs="Trebuchet MS"/>
                <w:sz w:val="22"/>
                <w:szCs w:val="22"/>
                <w:lang w:val="en-US"/>
              </w:rPr>
            </w:pPr>
            <w:r w:rsidRPr="0034040D">
              <w:rPr>
                <w:rFonts w:ascii="Trebuchet MS" w:eastAsiaTheme="minorEastAsia" w:hAnsi="Trebuchet MS" w:cs="Trebuchet MS"/>
                <w:sz w:val="22"/>
                <w:szCs w:val="22"/>
                <w:lang w:val="en-US"/>
              </w:rPr>
              <w:t>After you have read the above texts, answer these questions:</w:t>
            </w:r>
          </w:p>
          <w:p w:rsidR="00AB7884" w:rsidRPr="0034040D" w:rsidRDefault="00AB7884" w:rsidP="007F44B4">
            <w:pPr>
              <w:pStyle w:val="ListParagraph"/>
              <w:numPr>
                <w:ilvl w:val="0"/>
                <w:numId w:val="37"/>
              </w:numPr>
              <w:rPr>
                <w:rFonts w:ascii="Trebuchet MS" w:eastAsiaTheme="minorEastAsia" w:hAnsi="Trebuchet MS" w:cs="Trebuchet MS"/>
                <w:sz w:val="22"/>
                <w:szCs w:val="22"/>
              </w:rPr>
            </w:pPr>
            <w:r w:rsidRPr="0034040D">
              <w:rPr>
                <w:rFonts w:ascii="Trebuchet MS" w:eastAsiaTheme="minorEastAsia" w:hAnsi="Trebuchet MS" w:cs="Trebuchet MS"/>
                <w:sz w:val="22"/>
                <w:szCs w:val="22"/>
              </w:rPr>
              <w:t>What trade agreements are in place to regulate the global trade in pharmaceuticals?</w:t>
            </w:r>
          </w:p>
          <w:p w:rsidR="00AB7884" w:rsidRPr="0034040D" w:rsidRDefault="00AB7884" w:rsidP="007F44B4">
            <w:pPr>
              <w:pStyle w:val="ListParagraph"/>
              <w:numPr>
                <w:ilvl w:val="0"/>
                <w:numId w:val="37"/>
              </w:numPr>
              <w:rPr>
                <w:rFonts w:ascii="Trebuchet MS" w:eastAsiaTheme="minorEastAsia" w:hAnsi="Trebuchet MS" w:cs="Trebuchet MS"/>
                <w:sz w:val="22"/>
                <w:szCs w:val="22"/>
              </w:rPr>
            </w:pPr>
            <w:r w:rsidRPr="0034040D">
              <w:rPr>
                <w:rFonts w:ascii="Trebuchet MS" w:eastAsiaTheme="minorEastAsia" w:hAnsi="Trebuchet MS" w:cs="Trebuchet MS"/>
                <w:sz w:val="22"/>
                <w:szCs w:val="22"/>
              </w:rPr>
              <w:t>Do these agreements promote free trade for all?</w:t>
            </w:r>
          </w:p>
          <w:p w:rsidR="00AB7884" w:rsidRPr="0034040D" w:rsidRDefault="00AB7884" w:rsidP="007F44B4">
            <w:pPr>
              <w:pStyle w:val="ListParagraph"/>
              <w:numPr>
                <w:ilvl w:val="0"/>
                <w:numId w:val="37"/>
              </w:numPr>
              <w:rPr>
                <w:rFonts w:ascii="Trebuchet MS" w:eastAsiaTheme="minorEastAsia" w:hAnsi="Trebuchet MS" w:cs="Trebuchet MS"/>
                <w:sz w:val="22"/>
                <w:szCs w:val="22"/>
              </w:rPr>
            </w:pPr>
            <w:r w:rsidRPr="0034040D">
              <w:rPr>
                <w:rFonts w:ascii="Trebuchet MS" w:eastAsiaTheme="minorEastAsia" w:hAnsi="Trebuchet MS" w:cs="Trebuchet MS"/>
                <w:sz w:val="22"/>
                <w:szCs w:val="22"/>
              </w:rPr>
              <w:t>What are the public health implications of these agreements?</w:t>
            </w:r>
          </w:p>
          <w:p w:rsidR="00AB7884" w:rsidRPr="0034040D" w:rsidRDefault="00AB7884" w:rsidP="007F44B4">
            <w:pPr>
              <w:pStyle w:val="ListParagraph"/>
              <w:numPr>
                <w:ilvl w:val="0"/>
                <w:numId w:val="37"/>
              </w:numPr>
              <w:rPr>
                <w:rFonts w:ascii="Trebuchet MS" w:eastAsiaTheme="minorEastAsia" w:hAnsi="Trebuchet MS" w:cs="Trebuchet MS"/>
                <w:color w:val="171715"/>
                <w:sz w:val="22"/>
                <w:szCs w:val="22"/>
                <w:lang w:val="en-ZA"/>
              </w:rPr>
            </w:pPr>
            <w:r w:rsidRPr="0034040D">
              <w:rPr>
                <w:rFonts w:ascii="Trebuchet MS" w:eastAsiaTheme="minorEastAsia" w:hAnsi="Trebuchet MS" w:cs="Trebuchet MS"/>
                <w:sz w:val="22"/>
                <w:szCs w:val="22"/>
              </w:rPr>
              <w:t>What are generic medicines?</w:t>
            </w:r>
          </w:p>
          <w:p w:rsidR="00AB7884" w:rsidRPr="0034040D" w:rsidRDefault="00AB7884" w:rsidP="007F44B4">
            <w:pPr>
              <w:pStyle w:val="ListParagraph"/>
              <w:numPr>
                <w:ilvl w:val="0"/>
                <w:numId w:val="37"/>
              </w:numPr>
              <w:spacing w:after="120"/>
              <w:ind w:left="357" w:hanging="357"/>
              <w:rPr>
                <w:rFonts w:ascii="Trebuchet MS" w:eastAsiaTheme="minorEastAsia" w:hAnsi="Trebuchet MS" w:cs="Trebuchet MS"/>
                <w:color w:val="171715"/>
                <w:sz w:val="22"/>
                <w:szCs w:val="22"/>
                <w:lang w:val="en-ZA"/>
              </w:rPr>
            </w:pPr>
            <w:r w:rsidRPr="0034040D">
              <w:rPr>
                <w:rFonts w:ascii="Trebuchet MS" w:eastAsiaTheme="minorEastAsia" w:hAnsi="Trebuchet MS" w:cs="Trebuchet MS"/>
                <w:sz w:val="22"/>
                <w:szCs w:val="22"/>
              </w:rPr>
              <w:t xml:space="preserve">What would be fair trade </w:t>
            </w:r>
            <w:r w:rsidRPr="0034040D">
              <w:rPr>
                <w:rFonts w:ascii="Times New Roman" w:eastAsiaTheme="minorEastAsia" w:hAnsi="Times New Roman" w:cs="Times New Roman"/>
                <w:sz w:val="22"/>
                <w:szCs w:val="22"/>
              </w:rPr>
              <w:t>─</w:t>
            </w:r>
            <w:r w:rsidRPr="0034040D">
              <w:rPr>
                <w:rFonts w:ascii="Trebuchet MS" w:eastAsiaTheme="minorEastAsia" w:hAnsi="Trebuchet MS" w:cs="Trebuchet MS"/>
                <w:sz w:val="22"/>
                <w:szCs w:val="22"/>
              </w:rPr>
              <w:t xml:space="preserve"> for both the big pharmaceutical companies, as well as the low and middle-income countries that need their drugs?</w:t>
            </w:r>
          </w:p>
        </w:tc>
      </w:tr>
    </w:tbl>
    <w:p w:rsidR="00AB7884" w:rsidRDefault="00AB7884">
      <w:pPr>
        <w:pStyle w:val="NormalWeb"/>
        <w:spacing w:before="240" w:beforeAutospacing="0" w:after="120" w:afterAutospacing="0"/>
        <w:rPr>
          <w:rFonts w:ascii="Trebuchet MS" w:hAnsi="Trebuchet MS" w:cs="Trebuchet MS"/>
          <w:b/>
          <w:bCs/>
          <w:sz w:val="22"/>
          <w:szCs w:val="22"/>
        </w:rPr>
      </w:pPr>
      <w:r>
        <w:rPr>
          <w:rFonts w:ascii="Trebuchet MS" w:hAnsi="Trebuchet MS" w:cs="Trebuchet MS"/>
          <w:b/>
          <w:bCs/>
          <w:sz w:val="22"/>
          <w:szCs w:val="22"/>
        </w:rPr>
        <w:t>FEEDBACK</w:t>
      </w:r>
    </w:p>
    <w:p w:rsidR="00AB7884" w:rsidRDefault="00AB7884">
      <w:pPr>
        <w:pStyle w:val="NormalWeb"/>
        <w:spacing w:before="0" w:beforeAutospacing="0"/>
        <w:rPr>
          <w:sz w:val="22"/>
          <w:szCs w:val="22"/>
        </w:rPr>
      </w:pPr>
      <w:r>
        <w:rPr>
          <w:sz w:val="22"/>
          <w:szCs w:val="22"/>
        </w:rPr>
        <w:t>Read the input below for feedback on Task 1.</w:t>
      </w:r>
    </w:p>
    <w:p w:rsidR="00AB7884" w:rsidRDefault="00AB7884">
      <w:pPr>
        <w:pStyle w:val="NormalWeb"/>
        <w:rPr>
          <w:rStyle w:val="texto11"/>
        </w:rPr>
      </w:pPr>
      <w:r>
        <w:rPr>
          <w:sz w:val="22"/>
          <w:szCs w:val="22"/>
        </w:rPr>
        <w:t xml:space="preserve">As we will see in relation to medications for AIDS, the global pharmaceutical trade is complex and has very significant ramifications for life and death. Market forces, activism, legal challenges, political negotiation of treaties, and technical exemptions to treaties, have all played a role in what has been a power struggle over access to life-saving medicines versus access to markets and profits. Market competition from globalised producers of ‘generic’ medicines has driven the price of anti-retroviral (ARV) medicines down, but this did not happen without political activism and legal challenges. The struggle was and continues to be intense, because the stakes are so high. </w:t>
      </w:r>
    </w:p>
    <w:p w:rsidR="00AB7884" w:rsidRDefault="00AB7884">
      <w:pPr>
        <w:pStyle w:val="NormalWeb"/>
        <w:spacing w:before="240" w:beforeAutospacing="0" w:after="120" w:afterAutospacing="0"/>
        <w:rPr>
          <w:rStyle w:val="texto11"/>
        </w:rPr>
      </w:pPr>
      <w:r>
        <w:rPr>
          <w:rStyle w:val="texto11"/>
          <w:rFonts w:ascii="Trebuchet MS" w:hAnsi="Trebuchet MS" w:cs="Trebuchet MS"/>
          <w:b/>
          <w:bCs/>
          <w:sz w:val="22"/>
          <w:szCs w:val="22"/>
        </w:rPr>
        <w:t>Big Pharma</w:t>
      </w:r>
    </w:p>
    <w:p w:rsidR="00AB7884" w:rsidRDefault="00AB7884">
      <w:pPr>
        <w:pStyle w:val="NormalWeb"/>
        <w:spacing w:before="0" w:beforeAutospacing="0"/>
        <w:rPr>
          <w:sz w:val="22"/>
          <w:szCs w:val="22"/>
        </w:rPr>
      </w:pPr>
      <w:r>
        <w:rPr>
          <w:sz w:val="22"/>
          <w:szCs w:val="22"/>
        </w:rPr>
        <w:t>L</w:t>
      </w:r>
      <w:r>
        <w:rPr>
          <w:rStyle w:val="texto11"/>
          <w:sz w:val="22"/>
          <w:szCs w:val="22"/>
        </w:rPr>
        <w:t xml:space="preserve">ike the global food industry (or Big Farma), trade in pharmaceuticals is largely in the hands of a small number of very large companies (Big Pharma) which are among the most profitable in the world. These </w:t>
      </w:r>
      <w:r>
        <w:rPr>
          <w:sz w:val="22"/>
          <w:szCs w:val="22"/>
        </w:rPr>
        <w:t>companies research, develop, market and distribute pharmaceuticals. Social and political pressure from HIV treatment access activists has highlighted the generic pharmaceutical industry, which manufactures, markets and distributes medicines but does not develop new medicines. As generic manufacturers gain ground, many of the Big Pharma companies lose. However, Big Pharma are now manufacturing their own generics, as we will see later in this session.</w:t>
      </w:r>
    </w:p>
    <w:p w:rsidR="00AB7884" w:rsidRDefault="00AB7884">
      <w:pPr>
        <w:pStyle w:val="NormalWeb"/>
        <w:spacing w:before="0" w:beforeAutospacing="0"/>
        <w:rPr>
          <w:sz w:val="22"/>
          <w:szCs w:val="22"/>
        </w:rPr>
      </w:pPr>
      <w:r>
        <w:rPr>
          <w:rStyle w:val="texto11"/>
          <w:sz w:val="22"/>
          <w:szCs w:val="22"/>
        </w:rPr>
        <w:t xml:space="preserve">The table below lists the top 20 pharmaceutical companies based on sales in 2009. You might recognise the names of those with a presence in your own country. Notice how many are based in the US, UK, EU and Japan. </w:t>
      </w:r>
    </w:p>
    <w:p w:rsidR="00AB7884" w:rsidRDefault="00AB7884">
      <w:pPr>
        <w:tabs>
          <w:tab w:val="left" w:pos="540"/>
        </w:tabs>
        <w:spacing w:before="120" w:after="120"/>
        <w:rPr>
          <w:rFonts w:ascii="Trebuchet MS" w:hAnsi="Trebuchet MS" w:cs="Trebuchet MS"/>
          <w:b/>
          <w:bCs/>
          <w:sz w:val="22"/>
          <w:szCs w:val="22"/>
        </w:rPr>
      </w:pPr>
      <w:r>
        <w:rPr>
          <w:rStyle w:val="texto11"/>
          <w:rFonts w:ascii="Trebuchet MS" w:hAnsi="Trebuchet MS" w:cs="Trebuchet MS"/>
          <w:b/>
          <w:bCs/>
          <w:sz w:val="22"/>
          <w:szCs w:val="22"/>
          <w:lang w:val="en-US"/>
        </w:rPr>
        <w:br w:type="page"/>
      </w:r>
      <w:r>
        <w:rPr>
          <w:rStyle w:val="texto11"/>
          <w:rFonts w:ascii="Trebuchet MS" w:hAnsi="Trebuchet MS" w:cs="Trebuchet MS"/>
          <w:b/>
          <w:bCs/>
          <w:sz w:val="22"/>
          <w:szCs w:val="22"/>
          <w:lang w:val="en-US"/>
        </w:rPr>
        <w:lastRenderedPageBreak/>
        <w:t xml:space="preserve">Table 2.3.1 Top 20 global </w:t>
      </w:r>
      <w:r>
        <w:rPr>
          <w:rFonts w:ascii="Trebuchet MS" w:hAnsi="Trebuchet MS" w:cs="Trebuchet MS"/>
          <w:b/>
          <w:bCs/>
          <w:sz w:val="22"/>
          <w:szCs w:val="22"/>
        </w:rPr>
        <w:t>drug companies based on sales in 2009</w:t>
      </w:r>
    </w:p>
    <w:tbl>
      <w:tblPr>
        <w:tblW w:w="0" w:type="auto"/>
        <w:tblCellSpacing w:w="7" w:type="dxa"/>
        <w:tblInd w:w="2" w:type="dxa"/>
        <w:tblCellMar>
          <w:top w:w="15" w:type="dxa"/>
          <w:left w:w="15" w:type="dxa"/>
          <w:bottom w:w="15" w:type="dxa"/>
          <w:right w:w="15" w:type="dxa"/>
        </w:tblCellMar>
        <w:tblLook w:val="0000"/>
      </w:tblPr>
      <w:tblGrid>
        <w:gridCol w:w="294"/>
        <w:gridCol w:w="2315"/>
        <w:gridCol w:w="2969"/>
        <w:gridCol w:w="2983"/>
      </w:tblGrid>
      <w:tr w:rsidR="00AB7884" w:rsidRPr="0034040D">
        <w:trPr>
          <w:tblHeade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b/>
                <w:bCs/>
              </w:rPr>
            </w:pPr>
          </w:p>
        </w:tc>
        <w:tc>
          <w:tcPr>
            <w:tcW w:w="2394" w:type="dxa"/>
            <w:tcBorders>
              <w:top w:val="nil"/>
              <w:left w:val="nil"/>
              <w:bottom w:val="nil"/>
              <w:right w:val="nil"/>
            </w:tcBorders>
            <w:vAlign w:val="center"/>
          </w:tcPr>
          <w:p w:rsidR="00AB7884" w:rsidRPr="0034040D" w:rsidRDefault="00AB7884">
            <w:pPr>
              <w:jc w:val="center"/>
              <w:rPr>
                <w:rFonts w:eastAsiaTheme="minorEastAsia"/>
                <w:b/>
                <w:bCs/>
              </w:rPr>
            </w:pPr>
            <w:r w:rsidRPr="0034040D">
              <w:rPr>
                <w:rFonts w:eastAsiaTheme="minorEastAsia"/>
                <w:b/>
                <w:bCs/>
              </w:rPr>
              <w:t>Company</w:t>
            </w:r>
          </w:p>
          <w:p w:rsidR="00AB7884" w:rsidRPr="0034040D" w:rsidRDefault="00AB7884">
            <w:pPr>
              <w:jc w:val="center"/>
              <w:rPr>
                <w:rFonts w:eastAsiaTheme="minorEastAsia"/>
                <w:b/>
                <w:bCs/>
              </w:rPr>
            </w:pPr>
          </w:p>
        </w:tc>
        <w:tc>
          <w:tcPr>
            <w:tcW w:w="3189" w:type="dxa"/>
            <w:tcBorders>
              <w:top w:val="nil"/>
              <w:left w:val="nil"/>
              <w:bottom w:val="nil"/>
              <w:right w:val="nil"/>
            </w:tcBorders>
            <w:vAlign w:val="center"/>
          </w:tcPr>
          <w:p w:rsidR="00AB7884" w:rsidRPr="0034040D" w:rsidRDefault="00AB7884">
            <w:pPr>
              <w:jc w:val="center"/>
              <w:rPr>
                <w:rFonts w:eastAsiaTheme="minorEastAsia"/>
                <w:b/>
                <w:bCs/>
              </w:rPr>
            </w:pPr>
            <w:r w:rsidRPr="0034040D">
              <w:rPr>
                <w:rFonts w:eastAsiaTheme="minorEastAsia"/>
                <w:b/>
                <w:bCs/>
              </w:rPr>
              <w:t>2009 Revenues in US $ (Milllions)</w:t>
            </w:r>
          </w:p>
        </w:tc>
        <w:tc>
          <w:tcPr>
            <w:tcW w:w="3156" w:type="dxa"/>
            <w:tcBorders>
              <w:top w:val="nil"/>
              <w:left w:val="nil"/>
              <w:bottom w:val="nil"/>
              <w:right w:val="nil"/>
            </w:tcBorders>
          </w:tcPr>
          <w:p w:rsidR="00AB7884" w:rsidRPr="0034040D" w:rsidRDefault="00AB7884">
            <w:pPr>
              <w:jc w:val="center"/>
              <w:rPr>
                <w:rFonts w:eastAsiaTheme="minorEastAsia"/>
                <w:b/>
                <w:bCs/>
              </w:rPr>
            </w:pPr>
            <w:r w:rsidRPr="0034040D">
              <w:rPr>
                <w:rFonts w:eastAsiaTheme="minorEastAsia"/>
                <w:b/>
                <w:bCs/>
              </w:rPr>
              <w:t>Headquarters</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Pfizer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$45,448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US</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2</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Sanofi-Aventis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$40,871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 xml:space="preserve">France </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3</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Novartis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$38,455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Switzerland</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4</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GlaxoSmithKline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$36,746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Britain</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5</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AstraZeneca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$31,905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Britain</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6</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Merck &amp; Co.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$26,929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US</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7</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Johnson &amp; Johnson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$22,520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US</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8</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Eli Lilly &amp; Co.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$20,629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US</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9</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Bristol-Myers Squibb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$18,808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US</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10</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Abbott Laboratories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$16,486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US</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11</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Takeda Chem Ind.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$14,204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Japan</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12</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Boehringer-Ingelheim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$14,027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Germany</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13</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Teva Pharma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$13,814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Israel</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14</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Bayer Schering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$13,344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Germany</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15</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Astellas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$10,509 </w:t>
            </w:r>
          </w:p>
        </w:tc>
        <w:tc>
          <w:tcPr>
            <w:tcW w:w="3156" w:type="dxa"/>
            <w:tcBorders>
              <w:top w:val="nil"/>
              <w:left w:val="nil"/>
              <w:bottom w:val="nil"/>
              <w:right w:val="nil"/>
            </w:tcBorders>
          </w:tcPr>
          <w:p w:rsidR="00AB7884" w:rsidRPr="0034040D" w:rsidRDefault="00AB7884">
            <w:pPr>
              <w:jc w:val="center"/>
              <w:rPr>
                <w:rFonts w:eastAsiaTheme="minorEastAsia"/>
              </w:rPr>
            </w:pP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16</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Daiichi-Sankyo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$9,757 </w:t>
            </w:r>
          </w:p>
        </w:tc>
        <w:tc>
          <w:tcPr>
            <w:tcW w:w="3156" w:type="dxa"/>
            <w:tcBorders>
              <w:top w:val="nil"/>
              <w:left w:val="nil"/>
              <w:bottom w:val="nil"/>
              <w:right w:val="nil"/>
            </w:tcBorders>
          </w:tcPr>
          <w:p w:rsidR="00AB7884" w:rsidRPr="0034040D" w:rsidRDefault="00AB7884">
            <w:pPr>
              <w:jc w:val="center"/>
              <w:rPr>
                <w:rFonts w:eastAsiaTheme="minorEastAsia"/>
              </w:rPr>
            </w:pP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17</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Eisai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$8,441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Japan</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18</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Otsuka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$7,717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Japan</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19</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Gilead Sciences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$6,469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US</w:t>
            </w:r>
          </w:p>
        </w:tc>
      </w:tr>
      <w:tr w:rsidR="00AB7884" w:rsidRPr="0034040D">
        <w:trPr>
          <w:tblCellSpacing w:w="7" w:type="dxa"/>
        </w:trPr>
        <w:tc>
          <w:tcPr>
            <w:tcW w:w="275"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20</w:t>
            </w:r>
          </w:p>
        </w:tc>
        <w:tc>
          <w:tcPr>
            <w:tcW w:w="2394"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Mylan </w:t>
            </w:r>
          </w:p>
        </w:tc>
        <w:tc>
          <w:tcPr>
            <w:tcW w:w="3189" w:type="dxa"/>
            <w:tcBorders>
              <w:top w:val="nil"/>
              <w:left w:val="nil"/>
              <w:bottom w:val="nil"/>
              <w:right w:val="nil"/>
            </w:tcBorders>
            <w:vAlign w:val="center"/>
          </w:tcPr>
          <w:p w:rsidR="00AB7884" w:rsidRPr="0034040D" w:rsidRDefault="00AB7884">
            <w:pPr>
              <w:jc w:val="center"/>
              <w:rPr>
                <w:rFonts w:eastAsiaTheme="minorEastAsia"/>
              </w:rPr>
            </w:pPr>
            <w:r w:rsidRPr="0034040D">
              <w:rPr>
                <w:rFonts w:eastAsiaTheme="minorEastAsia"/>
              </w:rPr>
              <w:t xml:space="preserve">$5,015 </w:t>
            </w:r>
          </w:p>
        </w:tc>
        <w:tc>
          <w:tcPr>
            <w:tcW w:w="3156" w:type="dxa"/>
            <w:tcBorders>
              <w:top w:val="nil"/>
              <w:left w:val="nil"/>
              <w:bottom w:val="nil"/>
              <w:right w:val="nil"/>
            </w:tcBorders>
          </w:tcPr>
          <w:p w:rsidR="00AB7884" w:rsidRPr="0034040D" w:rsidRDefault="00AB7884">
            <w:pPr>
              <w:jc w:val="center"/>
              <w:rPr>
                <w:rFonts w:eastAsiaTheme="minorEastAsia"/>
              </w:rPr>
            </w:pPr>
            <w:r w:rsidRPr="0034040D">
              <w:rPr>
                <w:rFonts w:eastAsiaTheme="minorEastAsia"/>
              </w:rPr>
              <w:t>US</w:t>
            </w:r>
          </w:p>
        </w:tc>
      </w:tr>
    </w:tbl>
    <w:p w:rsidR="00AB7884" w:rsidRDefault="00AB7884">
      <w:pPr>
        <w:pStyle w:val="NormalWeb"/>
        <w:spacing w:before="120" w:beforeAutospacing="0" w:after="120" w:afterAutospacing="0"/>
        <w:rPr>
          <w:i/>
          <w:iCs/>
          <w:sz w:val="20"/>
          <w:szCs w:val="20"/>
        </w:rPr>
      </w:pPr>
      <w:r>
        <w:rPr>
          <w:b/>
          <w:bCs/>
          <w:i/>
          <w:iCs/>
          <w:sz w:val="20"/>
          <w:szCs w:val="20"/>
        </w:rPr>
        <w:t>Source</w:t>
      </w:r>
      <w:r>
        <w:rPr>
          <w:sz w:val="20"/>
          <w:szCs w:val="20"/>
        </w:rPr>
        <w:t>: Roth, G (2011) Our annual look at the 10 biggest biopharmaceutical players</w:t>
      </w:r>
      <w:r>
        <w:rPr>
          <w:i/>
          <w:iCs/>
          <w:sz w:val="20"/>
          <w:szCs w:val="20"/>
        </w:rPr>
        <w:t>. Contract Pharma.</w:t>
      </w:r>
    </w:p>
    <w:p w:rsidR="00AB7884" w:rsidRDefault="00AB7884">
      <w:pPr>
        <w:pStyle w:val="NormalWeb"/>
        <w:spacing w:before="0" w:beforeAutospacing="0"/>
        <w:rPr>
          <w:sz w:val="22"/>
          <w:szCs w:val="22"/>
        </w:rPr>
      </w:pPr>
      <w:r>
        <w:rPr>
          <w:sz w:val="20"/>
          <w:szCs w:val="20"/>
        </w:rPr>
        <w:br/>
      </w:r>
      <w:r>
        <w:rPr>
          <w:sz w:val="22"/>
          <w:szCs w:val="22"/>
        </w:rPr>
        <w:t>Intellectual Property Rights (IPR) are, “those rights given to persons over the creations of their minds” (WTO, 2006). This includes ideas and knowledge, which have become an increasingly important part of trade. IPR are divided into two main areas:</w:t>
      </w:r>
    </w:p>
    <w:p w:rsidR="00AB7884" w:rsidRDefault="00AB7884" w:rsidP="007F44B4">
      <w:pPr>
        <w:pStyle w:val="NormalWeb"/>
        <w:numPr>
          <w:ilvl w:val="0"/>
          <w:numId w:val="38"/>
        </w:numPr>
        <w:spacing w:before="0" w:beforeAutospacing="0"/>
        <w:ind w:left="360"/>
        <w:rPr>
          <w:rStyle w:val="texto11"/>
        </w:rPr>
      </w:pPr>
      <w:r>
        <w:rPr>
          <w:rStyle w:val="texto11"/>
          <w:sz w:val="22"/>
          <w:szCs w:val="22"/>
        </w:rPr>
        <w:t>Copyright and rights related to copyright: These relate to the rights of authors of literary and artistic works, e.g. books, music, painting, computer programmes, movies, and so on).</w:t>
      </w:r>
    </w:p>
    <w:p w:rsidR="00AB7884" w:rsidRDefault="00AB7884" w:rsidP="007F44B4">
      <w:pPr>
        <w:pStyle w:val="NormalWeb"/>
        <w:numPr>
          <w:ilvl w:val="0"/>
          <w:numId w:val="38"/>
        </w:numPr>
        <w:spacing w:before="0" w:beforeAutospacing="0"/>
        <w:ind w:left="360"/>
        <w:rPr>
          <w:rStyle w:val="texto11"/>
        </w:rPr>
      </w:pPr>
      <w:r>
        <w:rPr>
          <w:rStyle w:val="texto11"/>
          <w:sz w:val="22"/>
          <w:szCs w:val="22"/>
        </w:rPr>
        <w:t xml:space="preserve">Industrial property is further divided into: </w:t>
      </w:r>
      <w:r>
        <w:rPr>
          <w:rStyle w:val="texto11"/>
          <w:sz w:val="22"/>
          <w:szCs w:val="22"/>
        </w:rPr>
        <w:br/>
      </w:r>
    </w:p>
    <w:p w:rsidR="00AB7884" w:rsidRDefault="00AB7884" w:rsidP="007F44B4">
      <w:pPr>
        <w:pStyle w:val="NormalWeb"/>
        <w:numPr>
          <w:ilvl w:val="0"/>
          <w:numId w:val="38"/>
        </w:numPr>
        <w:spacing w:before="0" w:beforeAutospacing="0"/>
        <w:rPr>
          <w:rStyle w:val="texto11"/>
        </w:rPr>
      </w:pPr>
      <w:r>
        <w:rPr>
          <w:rStyle w:val="texto11"/>
          <w:sz w:val="22"/>
          <w:szCs w:val="22"/>
        </w:rPr>
        <w:t>Protection of distinctive signs, in particular trademarks</w:t>
      </w:r>
    </w:p>
    <w:p w:rsidR="00AB7884" w:rsidRDefault="00AB7884" w:rsidP="007F44B4">
      <w:pPr>
        <w:pStyle w:val="NormalWeb"/>
        <w:numPr>
          <w:ilvl w:val="0"/>
          <w:numId w:val="38"/>
        </w:numPr>
        <w:spacing w:before="0" w:beforeAutospacing="0"/>
        <w:rPr>
          <w:rStyle w:val="texto11"/>
        </w:rPr>
      </w:pPr>
      <w:r>
        <w:rPr>
          <w:rStyle w:val="texto11"/>
          <w:sz w:val="22"/>
          <w:szCs w:val="22"/>
        </w:rPr>
        <w:t xml:space="preserve">Other types of industrial property (protected by patents), e.g. industrial designs and trade secrets. </w:t>
      </w:r>
      <w:bookmarkStart w:id="5" w:name="copyright"/>
      <w:bookmarkEnd w:id="5"/>
    </w:p>
    <w:p w:rsidR="00AB7884" w:rsidRDefault="00AB7884">
      <w:pPr>
        <w:pStyle w:val="NormalWeb"/>
        <w:spacing w:before="0" w:beforeAutospacing="0"/>
        <w:rPr>
          <w:rStyle w:val="texto11"/>
          <w:sz w:val="22"/>
          <w:szCs w:val="22"/>
        </w:rPr>
      </w:pPr>
      <w:r>
        <w:rPr>
          <w:rStyle w:val="texto11"/>
          <w:sz w:val="22"/>
          <w:szCs w:val="22"/>
        </w:rPr>
        <w:t xml:space="preserve">IPR covers all those products (such as medicines) and processes (such as a method of producing the chemical ingredients of a medicine) that involve a certain amount of invention, innovation, research, design and testing, for example a new variety of seed or plant, or brand-named clothing. </w:t>
      </w:r>
    </w:p>
    <w:p w:rsidR="00AB7884" w:rsidRDefault="00AB7884">
      <w:pPr>
        <w:pStyle w:val="NormalWeb"/>
        <w:spacing w:before="0" w:beforeAutospacing="0" w:after="0" w:afterAutospacing="0"/>
        <w:rPr>
          <w:rStyle w:val="texto11"/>
          <w:sz w:val="22"/>
          <w:szCs w:val="22"/>
        </w:rPr>
      </w:pPr>
      <w:r>
        <w:rPr>
          <w:rStyle w:val="texto11"/>
          <w:sz w:val="22"/>
          <w:szCs w:val="22"/>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3"/>
      </w:tblGrid>
      <w:tr w:rsidR="00AB7884" w:rsidRPr="0034040D">
        <w:tc>
          <w:tcPr>
            <w:tcW w:w="8613" w:type="dxa"/>
          </w:tcPr>
          <w:p w:rsidR="00AB7884" w:rsidRPr="0034040D" w:rsidRDefault="00AB7884">
            <w:pPr>
              <w:pStyle w:val="NormalWeb"/>
              <w:spacing w:before="120" w:beforeAutospacing="0" w:after="120" w:afterAutospacing="0"/>
              <w:rPr>
                <w:rStyle w:val="texto11"/>
                <w:rFonts w:ascii="Trebuchet MS" w:eastAsiaTheme="minorEastAsia" w:hAnsi="Trebuchet MS" w:cs="Trebuchet MS"/>
              </w:rPr>
            </w:pPr>
            <w:r w:rsidRPr="0034040D">
              <w:rPr>
                <w:rStyle w:val="texto11"/>
                <w:rFonts w:ascii="Trebuchet MS" w:eastAsiaTheme="minorEastAsia" w:hAnsi="Trebuchet MS" w:cs="Trebuchet MS"/>
                <w:b/>
                <w:bCs/>
              </w:rPr>
              <w:t>GLOSSARY</w:t>
            </w:r>
          </w:p>
          <w:p w:rsidR="00AB7884" w:rsidRPr="0034040D" w:rsidRDefault="00AB7884">
            <w:pPr>
              <w:pStyle w:val="NormalWeb"/>
              <w:spacing w:before="0" w:beforeAutospacing="0" w:after="120" w:afterAutospacing="0"/>
              <w:rPr>
                <w:rStyle w:val="texto11"/>
                <w:rFonts w:ascii="Trebuchet MS" w:eastAsiaTheme="minorEastAsia" w:hAnsi="Trebuchet MS" w:cs="Trebuchet MS"/>
              </w:rPr>
            </w:pPr>
            <w:r w:rsidRPr="0034040D">
              <w:rPr>
                <w:rStyle w:val="texto11"/>
                <w:rFonts w:ascii="Trebuchet MS" w:eastAsiaTheme="minorEastAsia" w:hAnsi="Trebuchet MS" w:cs="Trebuchet MS"/>
                <w:b/>
                <w:bCs/>
              </w:rPr>
              <w:t>Patent</w:t>
            </w:r>
            <w:r w:rsidRPr="0034040D">
              <w:rPr>
                <w:rStyle w:val="texto11"/>
                <w:rFonts w:ascii="Trebuchet MS" w:eastAsiaTheme="minorEastAsia" w:hAnsi="Trebuchet MS" w:cs="Trebuchet MS"/>
              </w:rPr>
              <w:t>: The right to exclude others from making, using, selling, offering to sell, or importing an invention. They are domestic in nature. But a brand company can hold a patent in a supplier or consumer country and can block any other company from producing, importing, selling, or using a patented drug.</w:t>
            </w:r>
          </w:p>
          <w:p w:rsidR="00AB7884" w:rsidRPr="0034040D" w:rsidRDefault="00AB7884">
            <w:pPr>
              <w:pStyle w:val="paraboldcolourtext"/>
              <w:spacing w:before="240" w:beforeAutospacing="0" w:after="120" w:afterAutospacing="0"/>
              <w:rPr>
                <w:rFonts w:ascii="Trebuchet MS" w:eastAsiaTheme="minorEastAsia" w:hAnsi="Trebuchet MS" w:cs="Trebuchet MS"/>
                <w:b/>
                <w:bCs/>
                <w:sz w:val="20"/>
                <w:szCs w:val="20"/>
              </w:rPr>
            </w:pPr>
            <w:r w:rsidRPr="0034040D">
              <w:rPr>
                <w:rFonts w:ascii="Trebuchet MS" w:eastAsiaTheme="minorEastAsia" w:hAnsi="Trebuchet MS" w:cs="Trebuchet MS"/>
                <w:b/>
                <w:bCs/>
                <w:sz w:val="20"/>
                <w:szCs w:val="20"/>
              </w:rPr>
              <w:t>What’s the difference between copyrights, patents, trademarks, etc?</w:t>
            </w:r>
          </w:p>
          <w:p w:rsidR="00AB7884" w:rsidRPr="0034040D" w:rsidRDefault="00AB7884">
            <w:pPr>
              <w:pStyle w:val="paraboldcolourtext"/>
              <w:spacing w:before="240" w:beforeAutospacing="0" w:after="120" w:afterAutospacing="0"/>
              <w:rPr>
                <w:rFonts w:ascii="Trebuchet MS" w:eastAsiaTheme="minorEastAsia" w:hAnsi="Trebuchet MS" w:cs="Trebuchet MS"/>
                <w:sz w:val="20"/>
                <w:szCs w:val="20"/>
              </w:rPr>
            </w:pPr>
            <w:r w:rsidRPr="0034040D">
              <w:rPr>
                <w:rFonts w:ascii="Trebuchet MS" w:eastAsiaTheme="minorEastAsia" w:hAnsi="Trebuchet MS" w:cs="Trebuchet MS"/>
                <w:sz w:val="20"/>
                <w:szCs w:val="20"/>
              </w:rPr>
              <w:t>“Patents, industrial designs, integrated circuit designs, geographical indications and trademarks have to be registered in order to receive protection. The registration includes a description of what is being protected – the invention, design, brand name, logo, etc. – and this description is public information.</w:t>
            </w:r>
          </w:p>
          <w:p w:rsidR="00AB7884" w:rsidRPr="0034040D" w:rsidRDefault="00AB7884">
            <w:pPr>
              <w:pStyle w:val="NormalWeb"/>
              <w:spacing w:before="0" w:beforeAutospacing="0" w:after="120" w:afterAutospacing="0"/>
              <w:rPr>
                <w:rStyle w:val="texto11"/>
                <w:rFonts w:eastAsiaTheme="minorEastAsia"/>
                <w:color w:val="auto"/>
                <w:sz w:val="24"/>
                <w:szCs w:val="24"/>
              </w:rPr>
            </w:pPr>
            <w:r w:rsidRPr="0034040D">
              <w:rPr>
                <w:rFonts w:ascii="Trebuchet MS" w:eastAsiaTheme="minorEastAsia" w:hAnsi="Trebuchet MS" w:cs="Trebuchet MS"/>
                <w:sz w:val="20"/>
                <w:szCs w:val="20"/>
              </w:rPr>
              <w:t>Copyright and trade secrets are protected automatically according to specified conditions. They do not have to be registered, and therefore there is no need to disclose, for example, how copyrighted computer software is constructed” (WTO, 2006 http://www.wto.org/english/tratop_e/trips_e/factsheet_pharm00_e.htm)</w:t>
            </w:r>
          </w:p>
        </w:tc>
      </w:tr>
    </w:tbl>
    <w:p w:rsidR="00AB7884" w:rsidRDefault="00AB7884">
      <w:pPr>
        <w:pStyle w:val="NormalWeb"/>
        <w:spacing w:before="0" w:beforeAutospacing="0" w:after="120" w:afterAutospacing="0"/>
        <w:rPr>
          <w:sz w:val="22"/>
          <w:szCs w:val="22"/>
        </w:rPr>
      </w:pPr>
      <w:bookmarkStart w:id="6" w:name="Anchor_Patents_61028"/>
      <w:bookmarkEnd w:id="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9"/>
      </w:tblGrid>
      <w:tr w:rsidR="00AB7884" w:rsidRPr="0034040D">
        <w:tc>
          <w:tcPr>
            <w:tcW w:w="8721" w:type="dxa"/>
          </w:tcPr>
          <w:p w:rsidR="00AB7884" w:rsidRPr="00556CD8" w:rsidRDefault="0085555C">
            <w:pPr>
              <w:pStyle w:val="parasmalltext"/>
              <w:spacing w:before="120" w:beforeAutospacing="0" w:after="120" w:afterAutospacing="0"/>
              <w:rPr>
                <w:rFonts w:ascii="Trebuchet MS" w:eastAsiaTheme="minorEastAsia" w:hAnsi="Trebuchet MS" w:cs="Trebuchet MS"/>
                <w:b/>
                <w:bCs/>
                <w:sz w:val="22"/>
                <w:szCs w:val="22"/>
              </w:rPr>
            </w:pPr>
            <w:r>
              <w:rPr>
                <w:rFonts w:ascii="Trebuchet MS" w:eastAsiaTheme="minorEastAsia" w:hAnsi="Trebuchet MS" w:cs="Trebuchet MS"/>
                <w:b/>
                <w:bCs/>
                <w:sz w:val="22"/>
                <w:szCs w:val="22"/>
              </w:rPr>
              <w:t>EXTRA</w:t>
            </w:r>
            <w:r w:rsidR="00AB7884" w:rsidRPr="00556CD8">
              <w:rPr>
                <w:rFonts w:ascii="Trebuchet MS" w:eastAsiaTheme="minorEastAsia" w:hAnsi="Trebuchet MS" w:cs="Trebuchet MS"/>
                <w:b/>
                <w:bCs/>
                <w:sz w:val="22"/>
                <w:szCs w:val="22"/>
              </w:rPr>
              <w:t xml:space="preserve"> READING</w:t>
            </w:r>
            <w:r>
              <w:rPr>
                <w:rFonts w:ascii="Trebuchet MS" w:eastAsiaTheme="minorEastAsia" w:hAnsi="Trebuchet MS" w:cs="Trebuchet MS"/>
                <w:b/>
                <w:bCs/>
                <w:sz w:val="22"/>
                <w:szCs w:val="22"/>
              </w:rPr>
              <w:t xml:space="preserve">  [See DVD Unit 2]</w:t>
            </w:r>
          </w:p>
          <w:p w:rsidR="00AB7884" w:rsidRPr="00556CD8" w:rsidRDefault="00AB7884">
            <w:pPr>
              <w:pStyle w:val="parasmalltext"/>
              <w:spacing w:before="120" w:beforeAutospacing="0" w:after="120" w:afterAutospacing="0"/>
              <w:rPr>
                <w:rFonts w:ascii="Trebuchet MS" w:eastAsiaTheme="minorEastAsia" w:hAnsi="Trebuchet MS" w:cs="Trebuchet MS"/>
                <w:sz w:val="22"/>
                <w:szCs w:val="22"/>
              </w:rPr>
            </w:pPr>
            <w:r w:rsidRPr="00556CD8">
              <w:rPr>
                <w:rFonts w:ascii="Trebuchet MS" w:eastAsiaTheme="minorEastAsia" w:hAnsi="Trebuchet MS" w:cs="Trebuchet MS"/>
                <w:sz w:val="22"/>
                <w:szCs w:val="22"/>
              </w:rPr>
              <w:t xml:space="preserve">Paget-Clarke, N. (2004). An interview with Dr. Vandana Shiva, The role of patents in the rise of globalisation. </w:t>
            </w:r>
            <w:r w:rsidRPr="00556CD8">
              <w:rPr>
                <w:rFonts w:ascii="Trebuchet MS" w:eastAsiaTheme="minorEastAsia" w:hAnsi="Trebuchet MS" w:cs="Trebuchet MS"/>
                <w:i/>
                <w:iCs/>
                <w:sz w:val="22"/>
                <w:szCs w:val="22"/>
              </w:rPr>
              <w:t>In Motion Magazine</w:t>
            </w:r>
            <w:r w:rsidRPr="00556CD8">
              <w:rPr>
                <w:rFonts w:ascii="Trebuchet MS" w:eastAsiaTheme="minorEastAsia" w:hAnsi="Trebuchet MS" w:cs="Trebuchet MS"/>
                <w:sz w:val="22"/>
                <w:szCs w:val="22"/>
              </w:rPr>
              <w:t xml:space="preserve"> March 28, 2004.</w:t>
            </w:r>
          </w:p>
          <w:p w:rsidR="00AB7884" w:rsidRPr="00556CD8" w:rsidRDefault="00AB7884">
            <w:pPr>
              <w:pStyle w:val="parasmalltext"/>
              <w:spacing w:after="120" w:afterAutospacing="0"/>
              <w:rPr>
                <w:rFonts w:ascii="Trebuchet MS" w:eastAsiaTheme="minorEastAsia" w:hAnsi="Trebuchet MS" w:cs="Trebuchet MS"/>
                <w:b/>
                <w:bCs/>
                <w:sz w:val="22"/>
                <w:szCs w:val="22"/>
              </w:rPr>
            </w:pPr>
            <w:r w:rsidRPr="00556CD8">
              <w:rPr>
                <w:rFonts w:ascii="Trebuchet MS" w:eastAsiaTheme="minorEastAsia" w:hAnsi="Trebuchet MS" w:cs="Trebuchet MS"/>
                <w:sz w:val="22"/>
                <w:szCs w:val="22"/>
              </w:rPr>
              <w:t xml:space="preserve">Dr. Vandana Shiva is founder of the Research Foundation for Science Technology and Ecology, an independent public industry research group, and Navdanya a grassroots conservation movement in India. The interview below explains the history of patents and how they were originally used to spread technology, but were then used to control technology. The domain over which patents applied was increased to include agriculture, medicine seed, cells, animals and so on. </w:t>
            </w:r>
          </w:p>
        </w:tc>
      </w:tr>
    </w:tbl>
    <w:p w:rsidR="00AB7884" w:rsidRDefault="00AB7884">
      <w:pPr>
        <w:pStyle w:val="NormalWeb"/>
        <w:spacing w:before="240" w:beforeAutospacing="0"/>
        <w:rPr>
          <w:sz w:val="22"/>
          <w:szCs w:val="22"/>
        </w:rPr>
      </w:pPr>
      <w:r>
        <w:rPr>
          <w:sz w:val="22"/>
          <w:szCs w:val="22"/>
        </w:rPr>
        <w:t>Patents and ‘intellectual property’ are one of the cornerstones of the global pharmaceutical trade. Patented drugs are those drugs for which pharmaceutical companies have a formal licence which grants them exclusive ownership and Intellectual Property Rights (IPR) to ensure that the drugs cannot be copied by other companies for a period of time – usually between 10 to 12 years once the product is ready for marketing.</w:t>
      </w:r>
      <w:r>
        <w:rPr>
          <w:rStyle w:val="texto11"/>
          <w:sz w:val="22"/>
          <w:szCs w:val="22"/>
        </w:rPr>
        <w:t xml:space="preserve"> </w:t>
      </w:r>
      <w:r>
        <w:rPr>
          <w:sz w:val="22"/>
          <w:szCs w:val="22"/>
        </w:rPr>
        <w:t xml:space="preserve">This protection allows inventors to recover the costs of making the invention, and to make a profit. The reason for this intervention is that it is in society’s interest for innovation to happen and for it to be fairly rewarded. </w:t>
      </w:r>
      <w:r>
        <w:rPr>
          <w:rStyle w:val="texto11"/>
          <w:sz w:val="22"/>
          <w:szCs w:val="22"/>
        </w:rPr>
        <w:t>The pharmaceutical company also holds the registered t</w:t>
      </w:r>
      <w:r>
        <w:rPr>
          <w:sz w:val="22"/>
          <w:szCs w:val="22"/>
        </w:rPr>
        <w:t xml:space="preserve">rademark on the brand name of a drug for a period of time. </w:t>
      </w:r>
    </w:p>
    <w:p w:rsidR="00AB7884" w:rsidRDefault="00AB7884">
      <w:pPr>
        <w:pStyle w:val="CommentText"/>
        <w:rPr>
          <w:sz w:val="22"/>
          <w:szCs w:val="22"/>
        </w:rPr>
      </w:pPr>
      <w:r>
        <w:rPr>
          <w:sz w:val="22"/>
          <w:szCs w:val="22"/>
          <w:lang w:val="en-ZA"/>
        </w:rPr>
        <w:t>Most e</w:t>
      </w:r>
      <w:r>
        <w:rPr>
          <w:rStyle w:val="texto11"/>
          <w:sz w:val="22"/>
          <w:szCs w:val="22"/>
        </w:rPr>
        <w:t>ssential drugs are not subject to patent rights, except for new drugs, such as those that are used to treat AIDS</w:t>
      </w:r>
      <w:r>
        <w:rPr>
          <w:rFonts w:ascii="Times New Roman" w:hAnsi="Times New Roman" w:cs="Times New Roman"/>
          <w:sz w:val="22"/>
          <w:szCs w:val="22"/>
        </w:rPr>
        <w:t>.</w:t>
      </w:r>
      <w:r>
        <w:rPr>
          <w:sz w:val="22"/>
          <w:szCs w:val="22"/>
        </w:rPr>
        <w:t xml:space="preserve"> Sixty nine per cent (69%) of the total world population have access to affordable essential drugs. That means that about 30% of people live without access to these drugs. The map in Figure 2.3.1 shows where people with access to essential and affordable medicines lived in 2004. It is likely that this map may look quite different today as more and more pharmaceutical companies are providing their medicines at discounted rates to low-income countries, for example GlaxoSmithKline offers ARVs at a 90% discount to low-income countries.</w:t>
      </w:r>
    </w:p>
    <w:p w:rsidR="00AB7884" w:rsidRDefault="00AB7884">
      <w:pPr>
        <w:pStyle w:val="CommentText"/>
        <w:rPr>
          <w:rFonts w:ascii="Times New Roman" w:hAnsi="Times New Roman" w:cs="Times New Roman"/>
          <w:sz w:val="22"/>
          <w:szCs w:val="22"/>
          <w:lang w:eastAsia="en-ZA"/>
        </w:rPr>
      </w:pPr>
    </w:p>
    <w:p w:rsidR="00AB7884" w:rsidRDefault="00AB7884">
      <w:pPr>
        <w:pStyle w:val="CommentText"/>
        <w:rPr>
          <w:rFonts w:ascii="Times New Roman" w:hAnsi="Times New Roman" w:cs="Times New Roman"/>
          <w:sz w:val="22"/>
          <w:szCs w:val="22"/>
          <w:lang w:eastAsia="en-Z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96"/>
      </w:tblGrid>
      <w:tr w:rsidR="00AB7884" w:rsidRPr="0034040D" w:rsidTr="00556CD8">
        <w:tc>
          <w:tcPr>
            <w:tcW w:w="8296" w:type="dxa"/>
          </w:tcPr>
          <w:p w:rsidR="00AB7884" w:rsidRPr="0034040D" w:rsidRDefault="00AB7884">
            <w:pPr>
              <w:pStyle w:val="NormalWeb"/>
              <w:spacing w:before="120" w:beforeAutospacing="0" w:after="120" w:afterAutospacing="0"/>
              <w:rPr>
                <w:rFonts w:ascii="Trebuchet MS" w:eastAsiaTheme="minorEastAsia" w:hAnsi="Trebuchet MS" w:cs="Trebuchet MS"/>
                <w:b/>
                <w:bCs/>
                <w:sz w:val="20"/>
                <w:szCs w:val="20"/>
              </w:rPr>
            </w:pPr>
            <w:r w:rsidRPr="0034040D">
              <w:rPr>
                <w:rFonts w:ascii="Trebuchet MS" w:eastAsiaTheme="minorEastAsia" w:hAnsi="Trebuchet MS" w:cs="Trebuchet MS"/>
                <w:b/>
                <w:bCs/>
                <w:sz w:val="20"/>
                <w:szCs w:val="20"/>
              </w:rPr>
              <w:lastRenderedPageBreak/>
              <w:t>GLOSSARY</w:t>
            </w:r>
          </w:p>
          <w:p w:rsidR="00AB7884" w:rsidRPr="0034040D" w:rsidRDefault="00AB7884">
            <w:pPr>
              <w:pStyle w:val="NormalWeb"/>
              <w:spacing w:before="120" w:beforeAutospacing="0" w:after="120" w:afterAutospacing="0"/>
              <w:rPr>
                <w:rFonts w:ascii="Trebuchet MS" w:eastAsiaTheme="minorEastAsia" w:hAnsi="Trebuchet MS" w:cs="Trebuchet MS"/>
                <w:sz w:val="20"/>
                <w:szCs w:val="20"/>
              </w:rPr>
            </w:pPr>
            <w:r w:rsidRPr="0034040D">
              <w:rPr>
                <w:rFonts w:ascii="Trebuchet MS" w:eastAsiaTheme="minorEastAsia" w:hAnsi="Trebuchet MS" w:cs="Trebuchet MS"/>
                <w:b/>
                <w:bCs/>
                <w:sz w:val="20"/>
                <w:szCs w:val="20"/>
              </w:rPr>
              <w:t xml:space="preserve">Essential medicines: </w:t>
            </w:r>
            <w:r w:rsidRPr="0034040D">
              <w:rPr>
                <w:rFonts w:ascii="Trebuchet MS" w:eastAsiaTheme="minorEastAsia" w:hAnsi="Trebuchet MS" w:cs="Trebuchet MS"/>
                <w:sz w:val="20"/>
                <w:szCs w:val="20"/>
              </w:rPr>
              <w:t xml:space="preserve">The WHO defines essential medicines as those medicines that satisfy the health care needs of the majority of the population. They should be available at all times in adequate amounts and in appropriate dosage forms, at a price the community can afford. </w:t>
            </w:r>
          </w:p>
          <w:p w:rsidR="00AB7884" w:rsidRPr="0034040D" w:rsidRDefault="00AB7884">
            <w:pPr>
              <w:pStyle w:val="NormalWeb"/>
              <w:spacing w:after="120" w:afterAutospacing="0"/>
              <w:rPr>
                <w:rFonts w:eastAsiaTheme="minorEastAsia"/>
                <w:b/>
                <w:bCs/>
                <w:sz w:val="20"/>
                <w:szCs w:val="20"/>
              </w:rPr>
            </w:pPr>
            <w:r w:rsidRPr="0034040D">
              <w:rPr>
                <w:rFonts w:ascii="Trebuchet MS" w:eastAsiaTheme="minorEastAsia" w:hAnsi="Trebuchet MS" w:cs="Trebuchet MS"/>
                <w:sz w:val="20"/>
                <w:szCs w:val="20"/>
              </w:rPr>
              <w:t>The WHO develops and continually updates the essential medicines list and sends this out to every health ministry in the world as a model list of essential drugs they should get for their population. However, each country is encouraged to prepare their own list that takes local priorities into account.</w:t>
            </w:r>
            <w:r w:rsidRPr="0034040D">
              <w:rPr>
                <w:rFonts w:eastAsiaTheme="minorEastAsia"/>
                <w:sz w:val="20"/>
                <w:szCs w:val="20"/>
              </w:rPr>
              <w:t xml:space="preserve"> </w:t>
            </w:r>
          </w:p>
        </w:tc>
      </w:tr>
    </w:tbl>
    <w:p w:rsidR="00AB7884" w:rsidRDefault="00AB7884">
      <w:pPr>
        <w:spacing w:before="240" w:after="120" w:line="276" w:lineRule="auto"/>
        <w:rPr>
          <w:rStyle w:val="texto11"/>
          <w:rFonts w:ascii="Times New Roman" w:hAnsi="Times New Roman" w:cs="Times New Roman"/>
        </w:rPr>
      </w:pPr>
      <w:r>
        <w:rPr>
          <w:rStyle w:val="texto11"/>
          <w:rFonts w:ascii="Trebuchet MS" w:hAnsi="Trebuchet MS" w:cs="Trebuchet MS"/>
          <w:b/>
          <w:bCs/>
          <w:sz w:val="22"/>
          <w:szCs w:val="22"/>
          <w:lang w:val="en-US"/>
        </w:rPr>
        <w:t>Figure 2.3.1 Territory size shows the proportion of all people in the world with access to affordable essential drugs, 2004</w:t>
      </w:r>
    </w:p>
    <w:p w:rsidR="00AB7884" w:rsidRDefault="00C42A6B">
      <w:pPr>
        <w:spacing w:after="200" w:line="276" w:lineRule="auto"/>
        <w:rPr>
          <w:rStyle w:val="texto11"/>
          <w:rFonts w:ascii="Times New Roman" w:hAnsi="Times New Roman" w:cs="Times New Roman"/>
        </w:rPr>
      </w:pPr>
      <w:r w:rsidRPr="00717A10">
        <w:rPr>
          <w:rFonts w:ascii="Times New Roman" w:hAnsi="Times New Roman" w:cs="Times New Roman"/>
          <w:noProof/>
          <w:lang w:val="en-ZA" w:eastAsia="en-ZA"/>
        </w:rPr>
        <w:pict>
          <v:shape id="_x0000_i1070" type="#_x0000_t75" style="width:380.25pt;height:185.25pt;visibility:visible">
            <v:imagedata r:id="rId50" o:title=""/>
          </v:shape>
        </w:pict>
      </w:r>
      <w:r w:rsidR="00AB7884">
        <w:rPr>
          <w:rStyle w:val="texto11"/>
          <w:rFonts w:ascii="Times New Roman" w:hAnsi="Times New Roman" w:cs="Times New Roman"/>
          <w:b/>
          <w:bCs/>
          <w:sz w:val="22"/>
          <w:szCs w:val="22"/>
          <w:lang w:val="en-US"/>
        </w:rPr>
        <w:t xml:space="preserve"> </w:t>
      </w:r>
    </w:p>
    <w:p w:rsidR="00AB7884" w:rsidRDefault="00AB7884">
      <w:pPr>
        <w:autoSpaceDE w:val="0"/>
        <w:autoSpaceDN w:val="0"/>
        <w:adjustRightInd w:val="0"/>
        <w:rPr>
          <w:lang w:eastAsia="en-ZA"/>
        </w:rPr>
      </w:pPr>
      <w:r>
        <w:rPr>
          <w:b/>
          <w:bCs/>
          <w:i/>
          <w:iCs/>
          <w:lang w:eastAsia="en-ZA"/>
        </w:rPr>
        <w:t>Source</w:t>
      </w:r>
      <w:r>
        <w:rPr>
          <w:lang w:eastAsia="en-ZA"/>
        </w:rPr>
        <w:t>: Worldmapper, 2004.</w:t>
      </w:r>
    </w:p>
    <w:p w:rsidR="00AB7884" w:rsidRDefault="00AB7884">
      <w:pPr>
        <w:autoSpaceDE w:val="0"/>
        <w:autoSpaceDN w:val="0"/>
        <w:adjustRightInd w:val="0"/>
        <w:rPr>
          <w:lang w:eastAsia="en-ZA"/>
        </w:rPr>
      </w:pPr>
    </w:p>
    <w:tbl>
      <w:tblPr>
        <w:tblW w:w="82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6878"/>
      </w:tblGrid>
      <w:tr w:rsidR="00AB7884" w:rsidRPr="0034040D" w:rsidTr="00556CD8">
        <w:trPr>
          <w:trHeight w:val="1104"/>
        </w:trPr>
        <w:tc>
          <w:tcPr>
            <w:tcW w:w="1418" w:type="dxa"/>
          </w:tcPr>
          <w:p w:rsidR="00AB7884" w:rsidRPr="0034040D" w:rsidRDefault="00C42A6B">
            <w:pPr>
              <w:spacing w:before="120" w:after="120"/>
              <w:rPr>
                <w:rFonts w:ascii="Trebuchet MS" w:eastAsiaTheme="minorEastAsia" w:hAnsi="Trebuchet MS" w:cs="Trebuchet MS"/>
                <w:b/>
                <w:bCs/>
                <w:sz w:val="22"/>
                <w:szCs w:val="22"/>
              </w:rPr>
            </w:pPr>
            <w:r w:rsidRPr="00717A10">
              <w:rPr>
                <w:rFonts w:ascii="Trebuchet MS" w:eastAsiaTheme="minorEastAsia" w:hAnsi="Trebuchet MS" w:cs="Trebuchet MS"/>
                <w:noProof/>
                <w:sz w:val="22"/>
                <w:szCs w:val="22"/>
                <w:lang w:val="en-ZA" w:eastAsia="en-ZA"/>
              </w:rPr>
              <w:pict>
                <v:shape id="_x0000_i1071" type="#_x0000_t75" style="width:53.25pt;height:59.25pt;visibility:visible">
                  <v:imagedata r:id="rId13" o:title=""/>
                </v:shape>
              </w:pict>
            </w:r>
          </w:p>
        </w:tc>
        <w:tc>
          <w:tcPr>
            <w:tcW w:w="6878" w:type="dxa"/>
          </w:tcPr>
          <w:p w:rsidR="00AB7884" w:rsidRPr="005A5796" w:rsidRDefault="00AB7884">
            <w:pPr>
              <w:pStyle w:val="Foote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Internet Resource</w:t>
            </w:r>
          </w:p>
          <w:p w:rsidR="00AB7884" w:rsidRPr="005A5796" w:rsidRDefault="00AB7884">
            <w:pPr>
              <w:autoSpaceDE w:val="0"/>
              <w:autoSpaceDN w:val="0"/>
              <w:adjustRightInd w:val="0"/>
              <w:rPr>
                <w:rFonts w:ascii="Trebuchet MS" w:eastAsiaTheme="minorEastAsia" w:hAnsi="Trebuchet MS" w:cs="Trebuchet MS"/>
                <w:sz w:val="22"/>
                <w:szCs w:val="22"/>
              </w:rPr>
            </w:pPr>
            <w:r w:rsidRPr="005A5796">
              <w:rPr>
                <w:rFonts w:ascii="Trebuchet MS" w:eastAsiaTheme="minorEastAsia" w:hAnsi="Trebuchet MS" w:cs="Trebuchet MS"/>
                <w:sz w:val="22"/>
                <w:szCs w:val="22"/>
              </w:rPr>
              <w:t xml:space="preserve">For a full-colour version of the above map go to: </w:t>
            </w:r>
          </w:p>
          <w:p w:rsidR="00AB7884" w:rsidRPr="0034040D" w:rsidRDefault="00717A10">
            <w:pPr>
              <w:autoSpaceDE w:val="0"/>
              <w:autoSpaceDN w:val="0"/>
              <w:adjustRightInd w:val="0"/>
              <w:rPr>
                <w:rFonts w:ascii="Trebuchet MS" w:eastAsiaTheme="minorEastAsia" w:hAnsi="Trebuchet MS" w:cs="Trebuchet MS"/>
                <w:color w:val="171715"/>
                <w:sz w:val="22"/>
                <w:szCs w:val="22"/>
                <w:lang w:val="en-ZA"/>
              </w:rPr>
            </w:pPr>
            <w:hyperlink r:id="rId51" w:history="1">
              <w:r w:rsidR="00AB7884" w:rsidRPr="005A5796">
                <w:rPr>
                  <w:rStyle w:val="Hyperlink"/>
                  <w:rFonts w:ascii="Trebuchet MS" w:eastAsiaTheme="minorEastAsia" w:hAnsi="Trebuchet MS" w:cs="Trebuchet MS"/>
                  <w:sz w:val="22"/>
                  <w:szCs w:val="22"/>
                  <w:u w:val="none"/>
                  <w:lang w:val="en-ZA"/>
                </w:rPr>
                <w:t>http://www.worldmapper.org/atozindex.html</w:t>
              </w:r>
            </w:hyperlink>
            <w:r w:rsidR="00AB7884" w:rsidRPr="008A1BC5">
              <w:rPr>
                <w:rStyle w:val="Hyperlink"/>
                <w:rFonts w:ascii="Trebuchet MS" w:eastAsiaTheme="minorEastAsia" w:hAnsi="Trebuchet MS" w:cs="Trebuchet MS"/>
                <w:sz w:val="22"/>
                <w:szCs w:val="22"/>
                <w:u w:val="none"/>
                <w:lang w:val="en-ZA"/>
              </w:rPr>
              <w:t xml:space="preserve">. </w:t>
            </w:r>
          </w:p>
          <w:p w:rsidR="00AB7884" w:rsidRPr="0034040D" w:rsidRDefault="00AB7884">
            <w:pPr>
              <w:autoSpaceDE w:val="0"/>
              <w:autoSpaceDN w:val="0"/>
              <w:adjustRightInd w:val="0"/>
              <w:rPr>
                <w:rFonts w:ascii="Trebuchet MS" w:eastAsiaTheme="minorEastAsia" w:hAnsi="Trebuchet MS" w:cs="Trebuchet MS"/>
                <w:b/>
                <w:bCs/>
                <w:sz w:val="22"/>
                <w:szCs w:val="22"/>
              </w:rPr>
            </w:pPr>
          </w:p>
        </w:tc>
      </w:tr>
    </w:tbl>
    <w:p w:rsidR="00AB7884" w:rsidRDefault="00AB7884">
      <w:pPr>
        <w:spacing w:before="240" w:after="120" w:line="276" w:lineRule="auto"/>
        <w:rPr>
          <w:b/>
          <w:bCs/>
          <w:sz w:val="22"/>
          <w:szCs w:val="22"/>
          <w:lang w:val="en-ZA"/>
        </w:rPr>
      </w:pPr>
      <w:r>
        <w:rPr>
          <w:rStyle w:val="texto11"/>
          <w:b/>
          <w:bCs/>
          <w:sz w:val="22"/>
          <w:szCs w:val="22"/>
          <w:lang w:val="en-US"/>
        </w:rPr>
        <w:t xml:space="preserve">Trade-Related aspects of Intellectual Property Rights (TRIPS) Agreement </w:t>
      </w:r>
    </w:p>
    <w:p w:rsidR="00AB7884" w:rsidRDefault="00AB7884">
      <w:pPr>
        <w:tabs>
          <w:tab w:val="left" w:pos="540"/>
        </w:tabs>
        <w:rPr>
          <w:rStyle w:val="texto11"/>
        </w:rPr>
      </w:pPr>
      <w:r>
        <w:rPr>
          <w:sz w:val="22"/>
          <w:szCs w:val="22"/>
          <w:lang w:val="en-ZA"/>
        </w:rPr>
        <w:t xml:space="preserve">The WTO regulates the global pharmaceutical trade and oversees patents and trademarks through the </w:t>
      </w:r>
      <w:r>
        <w:rPr>
          <w:rStyle w:val="texto11"/>
          <w:sz w:val="22"/>
          <w:szCs w:val="22"/>
          <w:lang w:val="en-US"/>
        </w:rPr>
        <w:t>TRIPS Agreement which was signed in 1995. This Agreement sets minimum standards of protection for all forms of Intellectual Property, these standards being derived from the legislation of developed countries. It also limits individual governments’ control over domestic Intellectual Property issues. The WTO gave low- and medium-income countries (LMICs) until 2005 to revise any of their national laws which conflict with the TRIPS Agreement, and least developed countries (LDCs) until 2016 to comply with TRIPS.</w:t>
      </w:r>
    </w:p>
    <w:p w:rsidR="00AB7884" w:rsidRDefault="00AB7884">
      <w:pPr>
        <w:tabs>
          <w:tab w:val="left" w:pos="540"/>
        </w:tabs>
        <w:rPr>
          <w:rStyle w:val="texto11"/>
        </w:rPr>
      </w:pPr>
    </w:p>
    <w:p w:rsidR="00AB7884" w:rsidRDefault="00AB7884">
      <w:pPr>
        <w:autoSpaceDE w:val="0"/>
        <w:autoSpaceDN w:val="0"/>
        <w:adjustRightInd w:val="0"/>
        <w:rPr>
          <w:rStyle w:val="texto11"/>
        </w:rPr>
      </w:pPr>
      <w:r>
        <w:rPr>
          <w:rStyle w:val="texto11"/>
          <w:sz w:val="22"/>
          <w:szCs w:val="22"/>
          <w:lang w:val="en-US"/>
        </w:rPr>
        <w:t xml:space="preserve">Even though the stated purpose of the WTO is to ensure freedom of trade, the </w:t>
      </w:r>
      <w:r>
        <w:rPr>
          <w:rStyle w:val="texto11"/>
          <w:i/>
          <w:iCs/>
          <w:sz w:val="22"/>
          <w:szCs w:val="22"/>
          <w:lang w:val="en-US"/>
        </w:rPr>
        <w:t>effect</w:t>
      </w:r>
      <w:r>
        <w:rPr>
          <w:rStyle w:val="texto11"/>
          <w:sz w:val="22"/>
          <w:szCs w:val="22"/>
          <w:lang w:val="en-US"/>
        </w:rPr>
        <w:t xml:space="preserve"> of the TRIPS Agreement is to restrict the production of cheaper, alternative drugs, to reduce competition and create a monopoly, to push up the price of medicines, and to </w:t>
      </w:r>
      <w:r>
        <w:rPr>
          <w:rStyle w:val="texto11"/>
          <w:sz w:val="22"/>
          <w:szCs w:val="22"/>
          <w:lang w:val="en-US"/>
        </w:rPr>
        <w:lastRenderedPageBreak/>
        <w:t xml:space="preserve">increase the </w:t>
      </w:r>
      <w:r>
        <w:rPr>
          <w:sz w:val="22"/>
          <w:szCs w:val="22"/>
          <w:lang w:val="en-ZA"/>
        </w:rPr>
        <w:t xml:space="preserve">outflow of foreign exchange from those countries which need to import these highly expensive medicines. </w:t>
      </w:r>
      <w:r>
        <w:rPr>
          <w:rStyle w:val="texto11"/>
          <w:sz w:val="22"/>
          <w:szCs w:val="22"/>
          <w:lang w:val="en-US"/>
        </w:rPr>
        <w:t xml:space="preserve">The overall health implications, in the short- to medium-term, are that medications become unaffordable for those LDCs and LMICs dealing with public health crises and those who need them most are denied the opportunity of receiving lifesaving treatments. In the long-term, however the health implications of TRIPS are far less predictable. If, for example the TRIPS Agreement were absent, there would be little incentive for Big Pharma to invest in the research and develop (R&amp;D) of new medications or to improve existing medications. Without some form of protection and ‘ownership’ of their intellectual property, Big Pharma argues that they could not make a profit or at the very least recover the large amounts they invest in research and development of pharmaceuticals. </w:t>
      </w:r>
    </w:p>
    <w:p w:rsidR="00AB7884" w:rsidRDefault="00AB7884">
      <w:pPr>
        <w:pStyle w:val="NormalWeb"/>
        <w:rPr>
          <w:rStyle w:val="texto11"/>
          <w:lang w:val="en-GB" w:eastAsia="en-US"/>
        </w:rPr>
      </w:pPr>
      <w:r>
        <w:rPr>
          <w:rStyle w:val="texto11"/>
          <w:sz w:val="22"/>
          <w:szCs w:val="22"/>
        </w:rPr>
        <w:t>However, this is debatable, as most leading pharmaceutical companies spend only about 15% of their revenue on R&amp;D (Lee &amp; Collin (2005). Ninety per cent (90%) of this 15% is directed at pharmaceuticals for lucrative markets, e.g. Viagra, anti-aging treatments, anti-depressants and tranquillisers; while investment in lifesaving drugs needed by LMICs is limited to the remaining 10% of the R&amp;D budget (Kerry &amp; Lee, 2007), mainly because of the lack of financial incentive to invest in these life-saving drugs.</w:t>
      </w:r>
    </w:p>
    <w:p w:rsidR="00AB7884" w:rsidRDefault="00AB7884">
      <w:pPr>
        <w:pStyle w:val="NormalWeb"/>
        <w:rPr>
          <w:sz w:val="22"/>
          <w:szCs w:val="22"/>
        </w:rPr>
      </w:pPr>
      <w:r>
        <w:rPr>
          <w:rStyle w:val="texto11"/>
          <w:sz w:val="22"/>
          <w:szCs w:val="22"/>
        </w:rPr>
        <w:t>Orphan diseases, such as rare diseases (in both developed and developing countries) and diseases which are mainly prevalent in developing countries (e.g. TB, cholera, sleeping sickness), have not been adopted by the pha</w:t>
      </w:r>
      <w:r>
        <w:rPr>
          <w:sz w:val="22"/>
          <w:szCs w:val="22"/>
        </w:rPr>
        <w:t>rmaceutical industry because there is little financial incentive to research, develop and market these medications.</w:t>
      </w:r>
    </w:p>
    <w:p w:rsidR="00AB7884" w:rsidRDefault="00AB7884">
      <w:pPr>
        <w:pStyle w:val="NormalWeb"/>
        <w:rPr>
          <w:sz w:val="22"/>
          <w:szCs w:val="22"/>
        </w:rPr>
      </w:pPr>
      <w:r>
        <w:rPr>
          <w:rStyle w:val="texto11"/>
          <w:sz w:val="22"/>
          <w:szCs w:val="22"/>
        </w:rPr>
        <w:t>In an important</w:t>
      </w:r>
      <w:r>
        <w:rPr>
          <w:sz w:val="22"/>
          <w:szCs w:val="22"/>
        </w:rPr>
        <w:t xml:space="preserve"> study undertaken by York University in 2008, researchers estimated that the US pharmaceutical industry spends almost twice as much on advertising and marketing (24%), as it does on R&amp;D (13,4%). This study provided the most accurate image yet of the promotional workings of the pharmaceutical industry (York University, 2008).</w:t>
      </w:r>
    </w:p>
    <w:p w:rsidR="00AB7884" w:rsidRDefault="00AB7884">
      <w:pPr>
        <w:pStyle w:val="NormalWeb"/>
        <w:rPr>
          <w:sz w:val="22"/>
          <w:szCs w:val="22"/>
        </w:rPr>
      </w:pPr>
      <w:r>
        <w:rPr>
          <w:sz w:val="22"/>
          <w:szCs w:val="22"/>
        </w:rPr>
        <w:t>A report by Deloitte on the world's 12 largest pharmaceutical makers shows that the average cost of bringing a product to market rose by more than 25% to more than $1bn in 2011, from $830 m in 2010. Ten of the 12 companies have seen a decline in returns from R&amp;D, resulting in an overall drop to 8,4% in 2011 from 11,8% in 2010 (Kollewe, 2011). However, according to Julian Remnant, head of Deloitte's European R&amp;D advisory practice, while this illustrates the challenges facing the pharmaceutical industry, it does not give us the total picture. Remnant explains that nearly two-thirds of these top 12 research-based pharmaceutical companies realized more value from product marketing and commercialisation and that their non-R&amp;D costs had declined which resulted “in a higher operating - which helps to free up cash flow that could be reinvested in R&amp;D” (Kollewe, 2011).</w:t>
      </w:r>
    </w:p>
    <w:p w:rsidR="00AB7884" w:rsidRDefault="00AB7884">
      <w:pPr>
        <w:spacing w:after="200"/>
        <w:rPr>
          <w:rStyle w:val="texto11"/>
          <w:lang w:val="en-ZA" w:eastAsia="en-ZA"/>
        </w:rPr>
      </w:pPr>
      <w:r>
        <w:rPr>
          <w:rStyle w:val="texto11"/>
          <w:sz w:val="22"/>
          <w:szCs w:val="22"/>
        </w:rPr>
        <w:t xml:space="preserve">Increasingly R&amp;D is being undertaken by smaller biotechnology companies and universities, which identify a product and its market potential and then may licence a larger company to secure regulatory approval. Pfizer, the world’s largest Big Pharma, for example has decided to put less money into R&amp;D and to buy in more pharmaceuticals from biotechnology companies and universities. </w:t>
      </w:r>
    </w:p>
    <w:p w:rsidR="00AB7884" w:rsidRDefault="00AB7884">
      <w:pPr>
        <w:pStyle w:val="BodyText2"/>
        <w:rPr>
          <w:rStyle w:val="texto11"/>
        </w:rPr>
      </w:pPr>
      <w:r>
        <w:rPr>
          <w:rStyle w:val="texto11"/>
          <w:sz w:val="22"/>
          <w:szCs w:val="22"/>
        </w:rPr>
        <w:t xml:space="preserve">The table below lists the top ten biopharmaceutical companies in 2010, by sales. Like Big Pharma, most of these companies are located in the US and Europe although there are a growing number in Brazil, Argentina and India. </w:t>
      </w:r>
    </w:p>
    <w:p w:rsidR="00AB7884" w:rsidRDefault="00AB7884">
      <w:pPr>
        <w:pStyle w:val="NormalWeb"/>
        <w:spacing w:before="240" w:beforeAutospacing="0" w:after="120" w:afterAutospacing="0"/>
        <w:rPr>
          <w:rFonts w:ascii="Trebuchet MS" w:hAnsi="Trebuchet MS" w:cs="Trebuchet MS"/>
          <w:b/>
          <w:bCs/>
          <w:sz w:val="22"/>
          <w:szCs w:val="22"/>
        </w:rPr>
      </w:pPr>
      <w:r>
        <w:rPr>
          <w:rStyle w:val="paragraphheader"/>
          <w:rFonts w:ascii="Trebuchet MS" w:hAnsi="Trebuchet MS" w:cs="Trebuchet MS"/>
          <w:b/>
          <w:bCs/>
          <w:sz w:val="22"/>
          <w:szCs w:val="22"/>
        </w:rPr>
        <w:br w:type="page"/>
      </w:r>
      <w:r>
        <w:rPr>
          <w:rStyle w:val="paragraphheader"/>
          <w:rFonts w:ascii="Trebuchet MS" w:hAnsi="Trebuchet MS" w:cs="Trebuchet MS"/>
          <w:b/>
          <w:bCs/>
          <w:sz w:val="22"/>
          <w:szCs w:val="22"/>
        </w:rPr>
        <w:lastRenderedPageBreak/>
        <w:t xml:space="preserve">Table 2.3.2 Top 10 Biopharmaceutical companies </w:t>
      </w:r>
      <w:r>
        <w:rPr>
          <w:rFonts w:ascii="Trebuchet MS" w:hAnsi="Trebuchet MS" w:cs="Trebuchet MS"/>
          <w:b/>
          <w:bCs/>
          <w:sz w:val="22"/>
          <w:szCs w:val="22"/>
        </w:rPr>
        <w:t>based on 2010 revenues </w:t>
      </w:r>
    </w:p>
    <w:tbl>
      <w:tblPr>
        <w:tblW w:w="0" w:type="auto"/>
        <w:tblCellSpacing w:w="7"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36"/>
        <w:gridCol w:w="3042"/>
        <w:gridCol w:w="4813"/>
      </w:tblGrid>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AB7884">
            <w:pPr>
              <w:rPr>
                <w:rFonts w:eastAsiaTheme="minorEastAsia"/>
                <w:b/>
                <w:bCs/>
              </w:rPr>
            </w:pPr>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AB7884">
            <w:pPr>
              <w:pStyle w:val="NormalWeb"/>
              <w:spacing w:before="0" w:beforeAutospacing="0" w:after="0" w:afterAutospacing="0"/>
              <w:rPr>
                <w:rFonts w:eastAsiaTheme="minorEastAsia"/>
                <w:b/>
                <w:bCs/>
                <w:sz w:val="20"/>
                <w:szCs w:val="20"/>
              </w:rPr>
            </w:pPr>
            <w:r w:rsidRPr="0034040D">
              <w:rPr>
                <w:rFonts w:eastAsiaTheme="minorEastAsia"/>
                <w:b/>
                <w:bCs/>
                <w:sz w:val="20"/>
                <w:szCs w:val="20"/>
              </w:rPr>
              <w:t>Company</w:t>
            </w:r>
          </w:p>
        </w:tc>
        <w:tc>
          <w:tcPr>
            <w:tcW w:w="4940" w:type="dxa"/>
            <w:tcBorders>
              <w:top w:val="outset" w:sz="6" w:space="0" w:color="auto"/>
              <w:left w:val="outset" w:sz="6" w:space="0" w:color="auto"/>
              <w:bottom w:val="outset" w:sz="6" w:space="0" w:color="auto"/>
            </w:tcBorders>
            <w:vAlign w:val="center"/>
          </w:tcPr>
          <w:p w:rsidR="00AB7884" w:rsidRPr="0034040D" w:rsidRDefault="00AB7884">
            <w:pPr>
              <w:pStyle w:val="NormalWeb"/>
              <w:spacing w:before="0" w:beforeAutospacing="0" w:after="0" w:afterAutospacing="0"/>
              <w:jc w:val="center"/>
              <w:rPr>
                <w:rFonts w:eastAsiaTheme="minorEastAsia"/>
                <w:b/>
                <w:bCs/>
                <w:sz w:val="20"/>
                <w:szCs w:val="20"/>
              </w:rPr>
            </w:pPr>
            <w:r w:rsidRPr="0034040D">
              <w:rPr>
                <w:rFonts w:eastAsiaTheme="minorEastAsia"/>
                <w:b/>
                <w:bCs/>
                <w:sz w:val="20"/>
                <w:szCs w:val="20"/>
              </w:rPr>
              <w:t>2010 Revenues in US$</w:t>
            </w:r>
          </w:p>
          <w:p w:rsidR="00AB7884" w:rsidRPr="0034040D" w:rsidRDefault="00AB7884">
            <w:pPr>
              <w:pStyle w:val="NormalWeb"/>
              <w:spacing w:before="0" w:beforeAutospacing="0" w:after="0" w:afterAutospacing="0"/>
              <w:jc w:val="center"/>
              <w:rPr>
                <w:rFonts w:eastAsiaTheme="minorEastAsia"/>
                <w:b/>
                <w:bCs/>
                <w:sz w:val="20"/>
                <w:szCs w:val="20"/>
              </w:rPr>
            </w:pPr>
            <w:r w:rsidRPr="0034040D">
              <w:rPr>
                <w:rFonts w:eastAsiaTheme="minorEastAsia"/>
                <w:b/>
                <w:bCs/>
                <w:sz w:val="20"/>
                <w:szCs w:val="20"/>
              </w:rPr>
              <w:t>(Millions)</w:t>
            </w:r>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52" w:history="1">
              <w:r w:rsidR="00AB7884" w:rsidRPr="0034040D">
                <w:rPr>
                  <w:rStyle w:val="Hyperlink"/>
                  <w:rFonts w:ascii="Arial" w:eastAsiaTheme="minorEastAsia" w:hAnsi="Arial" w:cs="Arial"/>
                  <w:color w:val="auto"/>
                  <w:u w:val="none"/>
                </w:rPr>
                <w:t>1</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53" w:history="1">
              <w:r w:rsidR="00AB7884" w:rsidRPr="0034040D">
                <w:rPr>
                  <w:rStyle w:val="Hyperlink"/>
                  <w:rFonts w:ascii="Arial" w:eastAsiaTheme="minorEastAsia" w:hAnsi="Arial" w:cs="Arial"/>
                  <w:color w:val="auto"/>
                  <w:sz w:val="20"/>
                  <w:szCs w:val="20"/>
                  <w:u w:val="none"/>
                </w:rPr>
                <w:t>Roche</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54" w:history="1">
              <w:r w:rsidR="00AB7884" w:rsidRPr="0034040D">
                <w:rPr>
                  <w:rStyle w:val="Hyperlink"/>
                  <w:rFonts w:ascii="Arial" w:eastAsiaTheme="minorEastAsia" w:hAnsi="Arial" w:cs="Arial"/>
                  <w:color w:val="auto"/>
                  <w:sz w:val="20"/>
                  <w:szCs w:val="20"/>
                  <w:u w:val="none"/>
                </w:rPr>
                <w:t>$35,629</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55" w:history="1">
              <w:r w:rsidR="00AB7884" w:rsidRPr="0034040D">
                <w:rPr>
                  <w:rStyle w:val="Hyperlink"/>
                  <w:rFonts w:ascii="Arial" w:eastAsiaTheme="minorEastAsia" w:hAnsi="Arial" w:cs="Arial"/>
                  <w:color w:val="auto"/>
                  <w:u w:val="none"/>
                </w:rPr>
                <w:t>2</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56" w:history="1">
              <w:r w:rsidR="00AB7884" w:rsidRPr="0034040D">
                <w:rPr>
                  <w:rStyle w:val="Hyperlink"/>
                  <w:rFonts w:ascii="Arial" w:eastAsiaTheme="minorEastAsia" w:hAnsi="Arial" w:cs="Arial"/>
                  <w:color w:val="auto"/>
                  <w:sz w:val="20"/>
                  <w:szCs w:val="20"/>
                  <w:u w:val="none"/>
                </w:rPr>
                <w:t>Amgen</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57" w:history="1">
              <w:r w:rsidR="00AB7884" w:rsidRPr="0034040D">
                <w:rPr>
                  <w:rStyle w:val="Hyperlink"/>
                  <w:rFonts w:ascii="Arial" w:eastAsiaTheme="minorEastAsia" w:hAnsi="Arial" w:cs="Arial"/>
                  <w:color w:val="auto"/>
                  <w:sz w:val="20"/>
                  <w:szCs w:val="20"/>
                  <w:u w:val="none"/>
                </w:rPr>
                <w:t>$15,053</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58" w:history="1">
              <w:r w:rsidR="00AB7884" w:rsidRPr="0034040D">
                <w:rPr>
                  <w:rStyle w:val="Hyperlink"/>
                  <w:rFonts w:ascii="Arial" w:eastAsiaTheme="minorEastAsia" w:hAnsi="Arial" w:cs="Arial"/>
                  <w:color w:val="auto"/>
                  <w:u w:val="none"/>
                </w:rPr>
                <w:t>3</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59" w:history="1">
              <w:r w:rsidR="00AB7884" w:rsidRPr="0034040D">
                <w:rPr>
                  <w:rStyle w:val="Hyperlink"/>
                  <w:rFonts w:ascii="Arial" w:eastAsiaTheme="minorEastAsia" w:hAnsi="Arial" w:cs="Arial"/>
                  <w:color w:val="auto"/>
                  <w:sz w:val="20"/>
                  <w:szCs w:val="20"/>
                  <w:u w:val="none"/>
                </w:rPr>
                <w:t>Novo Nordisk</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60" w:history="1">
              <w:r w:rsidR="00AB7884" w:rsidRPr="0034040D">
                <w:rPr>
                  <w:rStyle w:val="Hyperlink"/>
                  <w:rFonts w:ascii="Arial" w:eastAsiaTheme="minorEastAsia" w:hAnsi="Arial" w:cs="Arial"/>
                  <w:color w:val="auto"/>
                  <w:sz w:val="20"/>
                  <w:szCs w:val="20"/>
                  <w:u w:val="none"/>
                </w:rPr>
                <w:t>$10,835</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61" w:history="1">
              <w:r w:rsidR="00AB7884" w:rsidRPr="0034040D">
                <w:rPr>
                  <w:rStyle w:val="Hyperlink"/>
                  <w:rFonts w:ascii="Arial" w:eastAsiaTheme="minorEastAsia" w:hAnsi="Arial" w:cs="Arial"/>
                  <w:color w:val="auto"/>
                  <w:u w:val="none"/>
                </w:rPr>
                <w:t>4</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62" w:history="1">
              <w:r w:rsidR="00AB7884" w:rsidRPr="0034040D">
                <w:rPr>
                  <w:rStyle w:val="Hyperlink"/>
                  <w:rFonts w:ascii="Arial" w:eastAsiaTheme="minorEastAsia" w:hAnsi="Arial" w:cs="Arial"/>
                  <w:color w:val="auto"/>
                  <w:sz w:val="20"/>
                  <w:szCs w:val="20"/>
                  <w:u w:val="none"/>
                </w:rPr>
                <w:t>Merck Serono</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63" w:history="1">
              <w:r w:rsidR="00AB7884" w:rsidRPr="0034040D">
                <w:rPr>
                  <w:rStyle w:val="Hyperlink"/>
                  <w:rFonts w:ascii="Arial" w:eastAsiaTheme="minorEastAsia" w:hAnsi="Arial" w:cs="Arial"/>
                  <w:color w:val="auto"/>
                  <w:sz w:val="20"/>
                  <w:szCs w:val="20"/>
                  <w:u w:val="none"/>
                </w:rPr>
                <w:t>$7,641</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64" w:history="1">
              <w:r w:rsidR="00AB7884" w:rsidRPr="0034040D">
                <w:rPr>
                  <w:rStyle w:val="Hyperlink"/>
                  <w:rFonts w:ascii="Arial" w:eastAsiaTheme="minorEastAsia" w:hAnsi="Arial" w:cs="Arial"/>
                  <w:color w:val="auto"/>
                  <w:u w:val="none"/>
                </w:rPr>
                <w:t>5</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65" w:history="1">
              <w:r w:rsidR="00AB7884" w:rsidRPr="0034040D">
                <w:rPr>
                  <w:rStyle w:val="Hyperlink"/>
                  <w:rFonts w:ascii="Arial" w:eastAsiaTheme="minorEastAsia" w:hAnsi="Arial" w:cs="Arial"/>
                  <w:color w:val="auto"/>
                  <w:sz w:val="20"/>
                  <w:szCs w:val="20"/>
                  <w:u w:val="none"/>
                </w:rPr>
                <w:t>Baxter BioScience</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66" w:history="1">
              <w:r w:rsidR="00AB7884" w:rsidRPr="0034040D">
                <w:rPr>
                  <w:rStyle w:val="Hyperlink"/>
                  <w:rFonts w:ascii="Arial" w:eastAsiaTheme="minorEastAsia" w:hAnsi="Arial" w:cs="Arial"/>
                  <w:color w:val="auto"/>
                  <w:sz w:val="20"/>
                  <w:szCs w:val="20"/>
                  <w:u w:val="none"/>
                </w:rPr>
                <w:t>$5,640</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67" w:history="1">
              <w:r w:rsidR="00AB7884" w:rsidRPr="0034040D">
                <w:rPr>
                  <w:rStyle w:val="Hyperlink"/>
                  <w:rFonts w:ascii="Arial" w:eastAsiaTheme="minorEastAsia" w:hAnsi="Arial" w:cs="Arial"/>
                  <w:color w:val="auto"/>
                  <w:u w:val="none"/>
                </w:rPr>
                <w:t>6</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68" w:history="1">
              <w:r w:rsidR="00AB7884" w:rsidRPr="0034040D">
                <w:rPr>
                  <w:rStyle w:val="Hyperlink"/>
                  <w:rFonts w:ascii="Arial" w:eastAsiaTheme="minorEastAsia" w:hAnsi="Arial" w:cs="Arial"/>
                  <w:color w:val="auto"/>
                  <w:sz w:val="20"/>
                  <w:szCs w:val="20"/>
                  <w:u w:val="none"/>
                </w:rPr>
                <w:t>Biogen Idec</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69" w:history="1">
              <w:r w:rsidR="00AB7884" w:rsidRPr="0034040D">
                <w:rPr>
                  <w:rStyle w:val="Hyperlink"/>
                  <w:rFonts w:ascii="Arial" w:eastAsiaTheme="minorEastAsia" w:hAnsi="Arial" w:cs="Arial"/>
                  <w:color w:val="auto"/>
                  <w:sz w:val="20"/>
                  <w:szCs w:val="20"/>
                  <w:u w:val="none"/>
                </w:rPr>
                <w:t>$4,547</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70" w:history="1">
              <w:r w:rsidR="00AB7884" w:rsidRPr="0034040D">
                <w:rPr>
                  <w:rStyle w:val="Hyperlink"/>
                  <w:rFonts w:ascii="Arial" w:eastAsiaTheme="minorEastAsia" w:hAnsi="Arial" w:cs="Arial"/>
                  <w:color w:val="auto"/>
                  <w:u w:val="none"/>
                </w:rPr>
                <w:t>7</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71" w:history="1">
              <w:r w:rsidR="00AB7884" w:rsidRPr="0034040D">
                <w:rPr>
                  <w:rStyle w:val="Hyperlink"/>
                  <w:rFonts w:ascii="Arial" w:eastAsiaTheme="minorEastAsia" w:hAnsi="Arial" w:cs="Arial"/>
                  <w:color w:val="auto"/>
                  <w:sz w:val="20"/>
                  <w:szCs w:val="20"/>
                  <w:u w:val="none"/>
                </w:rPr>
                <w:t>CSL Ltd.</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72" w:history="1">
              <w:r w:rsidR="00AB7884" w:rsidRPr="0034040D">
                <w:rPr>
                  <w:rStyle w:val="Hyperlink"/>
                  <w:rFonts w:ascii="Arial" w:eastAsiaTheme="minorEastAsia" w:hAnsi="Arial" w:cs="Arial"/>
                  <w:color w:val="auto"/>
                  <w:sz w:val="20"/>
                  <w:szCs w:val="20"/>
                  <w:u w:val="none"/>
                </w:rPr>
                <w:t>$3,930</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73" w:history="1">
              <w:r w:rsidR="00AB7884" w:rsidRPr="0034040D">
                <w:rPr>
                  <w:rStyle w:val="Hyperlink"/>
                  <w:rFonts w:ascii="Arial" w:eastAsiaTheme="minorEastAsia" w:hAnsi="Arial" w:cs="Arial"/>
                  <w:color w:val="auto"/>
                  <w:u w:val="none"/>
                </w:rPr>
                <w:t>8</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74" w:history="1">
              <w:r w:rsidR="00AB7884" w:rsidRPr="0034040D">
                <w:rPr>
                  <w:rStyle w:val="Hyperlink"/>
                  <w:rFonts w:ascii="Arial" w:eastAsiaTheme="minorEastAsia" w:hAnsi="Arial" w:cs="Arial"/>
                  <w:color w:val="auto"/>
                  <w:sz w:val="20"/>
                  <w:szCs w:val="20"/>
                  <w:u w:val="none"/>
                </w:rPr>
                <w:t>Genzyme</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75" w:history="1">
              <w:r w:rsidR="00AB7884" w:rsidRPr="0034040D">
                <w:rPr>
                  <w:rStyle w:val="Hyperlink"/>
                  <w:rFonts w:ascii="Arial" w:eastAsiaTheme="minorEastAsia" w:hAnsi="Arial" w:cs="Arial"/>
                  <w:color w:val="auto"/>
                  <w:sz w:val="20"/>
                  <w:szCs w:val="20"/>
                  <w:u w:val="none"/>
                </w:rPr>
                <w:t>$3,417 </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jc w:val="center"/>
              <w:rPr>
                <w:rFonts w:eastAsiaTheme="minorEastAsia"/>
              </w:rPr>
            </w:pPr>
            <w:hyperlink r:id="rId76" w:history="1">
              <w:r w:rsidR="00AB7884" w:rsidRPr="0034040D">
                <w:rPr>
                  <w:rStyle w:val="Hyperlink"/>
                  <w:rFonts w:ascii="Arial" w:eastAsiaTheme="minorEastAsia" w:hAnsi="Arial" w:cs="Arial"/>
                  <w:color w:val="auto"/>
                  <w:u w:val="none"/>
                </w:rPr>
                <w:t>9</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0" w:afterAutospacing="0"/>
              <w:rPr>
                <w:rFonts w:eastAsiaTheme="minorEastAsia"/>
                <w:sz w:val="20"/>
                <w:szCs w:val="20"/>
              </w:rPr>
            </w:pPr>
            <w:hyperlink r:id="rId77" w:history="1">
              <w:r w:rsidR="00AB7884" w:rsidRPr="0034040D">
                <w:rPr>
                  <w:rStyle w:val="Hyperlink"/>
                  <w:rFonts w:ascii="Arial" w:eastAsiaTheme="minorEastAsia" w:hAnsi="Arial" w:cs="Arial"/>
                  <w:color w:val="auto"/>
                  <w:sz w:val="20"/>
                  <w:szCs w:val="20"/>
                  <w:u w:val="none"/>
                </w:rPr>
                <w:t>Allergan</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0" w:afterAutospacing="0"/>
              <w:jc w:val="center"/>
              <w:rPr>
                <w:rFonts w:eastAsiaTheme="minorEastAsia"/>
                <w:sz w:val="20"/>
                <w:szCs w:val="20"/>
              </w:rPr>
            </w:pPr>
            <w:hyperlink r:id="rId78" w:history="1">
              <w:r w:rsidR="00AB7884" w:rsidRPr="0034040D">
                <w:rPr>
                  <w:rStyle w:val="Hyperlink"/>
                  <w:rFonts w:ascii="Arial" w:eastAsiaTheme="minorEastAsia" w:hAnsi="Arial" w:cs="Arial"/>
                  <w:color w:val="auto"/>
                  <w:sz w:val="20"/>
                  <w:szCs w:val="20"/>
                  <w:u w:val="none"/>
                </w:rPr>
                <w:t>$1,419</w:t>
              </w:r>
            </w:hyperlink>
          </w:p>
        </w:tc>
      </w:tr>
      <w:tr w:rsidR="00AB7884" w:rsidRPr="0034040D">
        <w:trPr>
          <w:tblCellSpacing w:w="7" w:type="dxa"/>
        </w:trPr>
        <w:tc>
          <w:tcPr>
            <w:tcW w:w="732" w:type="dxa"/>
            <w:tcBorders>
              <w:top w:val="outset" w:sz="6" w:space="0" w:color="auto"/>
              <w:bottom w:val="outset" w:sz="6" w:space="0" w:color="auto"/>
              <w:right w:val="outset" w:sz="6" w:space="0" w:color="auto"/>
            </w:tcBorders>
            <w:vAlign w:val="center"/>
          </w:tcPr>
          <w:p w:rsidR="00AB7884" w:rsidRPr="0034040D" w:rsidRDefault="00717A10">
            <w:pPr>
              <w:spacing w:before="120" w:after="120"/>
              <w:jc w:val="center"/>
              <w:rPr>
                <w:rFonts w:eastAsiaTheme="minorEastAsia"/>
              </w:rPr>
            </w:pPr>
            <w:hyperlink r:id="rId79" w:history="1">
              <w:r w:rsidR="00AB7884" w:rsidRPr="0034040D">
                <w:rPr>
                  <w:rStyle w:val="Hyperlink"/>
                  <w:rFonts w:ascii="Arial" w:eastAsiaTheme="minorEastAsia" w:hAnsi="Arial" w:cs="Arial"/>
                  <w:color w:val="auto"/>
                  <w:u w:val="none"/>
                </w:rPr>
                <w:t>10</w:t>
              </w:r>
            </w:hyperlink>
          </w:p>
        </w:tc>
        <w:tc>
          <w:tcPr>
            <w:tcW w:w="3105" w:type="dxa"/>
            <w:tcBorders>
              <w:top w:val="outset" w:sz="6" w:space="0" w:color="auto"/>
              <w:left w:val="outset" w:sz="6" w:space="0" w:color="auto"/>
              <w:bottom w:val="outset" w:sz="6" w:space="0" w:color="auto"/>
              <w:right w:val="outset" w:sz="6" w:space="0" w:color="auto"/>
            </w:tcBorders>
            <w:vAlign w:val="center"/>
          </w:tcPr>
          <w:p w:rsidR="00AB7884" w:rsidRPr="0034040D" w:rsidRDefault="00717A10">
            <w:pPr>
              <w:pStyle w:val="NormalWeb"/>
              <w:spacing w:before="120" w:beforeAutospacing="0" w:after="120" w:afterAutospacing="0"/>
              <w:rPr>
                <w:rFonts w:eastAsiaTheme="minorEastAsia"/>
                <w:sz w:val="20"/>
                <w:szCs w:val="20"/>
              </w:rPr>
            </w:pPr>
            <w:hyperlink r:id="rId80" w:history="1">
              <w:r w:rsidR="00AB7884" w:rsidRPr="0034040D">
                <w:rPr>
                  <w:rStyle w:val="Hyperlink"/>
                  <w:rFonts w:ascii="Arial" w:eastAsiaTheme="minorEastAsia" w:hAnsi="Arial" w:cs="Arial"/>
                  <w:color w:val="auto"/>
                  <w:sz w:val="20"/>
                  <w:szCs w:val="20"/>
                  <w:u w:val="none"/>
                </w:rPr>
                <w:t>Alexion Pharma</w:t>
              </w:r>
            </w:hyperlink>
          </w:p>
        </w:tc>
        <w:tc>
          <w:tcPr>
            <w:tcW w:w="4940" w:type="dxa"/>
            <w:tcBorders>
              <w:top w:val="outset" w:sz="6" w:space="0" w:color="auto"/>
              <w:left w:val="outset" w:sz="6" w:space="0" w:color="auto"/>
              <w:bottom w:val="outset" w:sz="6" w:space="0" w:color="auto"/>
            </w:tcBorders>
            <w:vAlign w:val="center"/>
          </w:tcPr>
          <w:p w:rsidR="00AB7884" w:rsidRPr="0034040D" w:rsidRDefault="00717A10">
            <w:pPr>
              <w:pStyle w:val="NormalWeb"/>
              <w:spacing w:before="120" w:beforeAutospacing="0" w:after="120" w:afterAutospacing="0"/>
              <w:jc w:val="center"/>
              <w:rPr>
                <w:rFonts w:eastAsiaTheme="minorEastAsia"/>
                <w:sz w:val="20"/>
                <w:szCs w:val="20"/>
              </w:rPr>
            </w:pPr>
            <w:hyperlink r:id="rId81" w:history="1">
              <w:r w:rsidR="00AB7884" w:rsidRPr="0034040D">
                <w:rPr>
                  <w:rStyle w:val="Hyperlink"/>
                  <w:rFonts w:ascii="Arial" w:eastAsiaTheme="minorEastAsia" w:hAnsi="Arial" w:cs="Arial"/>
                  <w:color w:val="auto"/>
                  <w:sz w:val="20"/>
                  <w:szCs w:val="20"/>
                  <w:u w:val="none"/>
                </w:rPr>
                <w:t>$541</w:t>
              </w:r>
            </w:hyperlink>
          </w:p>
        </w:tc>
      </w:tr>
    </w:tbl>
    <w:p w:rsidR="00AB7884" w:rsidRDefault="00AB7884">
      <w:pPr>
        <w:pStyle w:val="Heading1"/>
        <w:rPr>
          <w:rFonts w:ascii="Times New Roman" w:hAnsi="Times New Roman" w:cs="Times New Roman"/>
          <w:b w:val="0"/>
          <w:bCs w:val="0"/>
          <w:sz w:val="20"/>
          <w:szCs w:val="20"/>
        </w:rPr>
      </w:pPr>
      <w:r>
        <w:rPr>
          <w:i/>
          <w:iCs/>
          <w:sz w:val="20"/>
          <w:szCs w:val="20"/>
        </w:rPr>
        <w:t>Source</w:t>
      </w:r>
      <w:r>
        <w:rPr>
          <w:b w:val="0"/>
          <w:bCs w:val="0"/>
          <w:sz w:val="20"/>
          <w:szCs w:val="20"/>
        </w:rPr>
        <w:t xml:space="preserve">: Roth, G. (2011). Our annual look at the 10 biggest biopharmaceutical players. </w:t>
      </w:r>
      <w:r>
        <w:rPr>
          <w:b w:val="0"/>
          <w:bCs w:val="0"/>
          <w:i/>
          <w:iCs/>
          <w:sz w:val="20"/>
          <w:szCs w:val="20"/>
        </w:rPr>
        <w:t>Contract Pharma</w:t>
      </w:r>
      <w:r>
        <w:rPr>
          <w:b w:val="0"/>
          <w:bCs w:val="0"/>
          <w:sz w:val="20"/>
          <w:szCs w:val="20"/>
        </w:rPr>
        <w:t xml:space="preserve">. </w:t>
      </w:r>
    </w:p>
    <w:p w:rsidR="00AB7884" w:rsidRDefault="00AB7884" w:rsidP="00556CD8">
      <w:pPr>
        <w:pStyle w:val="CommentText"/>
        <w:rPr>
          <w:sz w:val="22"/>
          <w:szCs w:val="22"/>
        </w:rPr>
      </w:pPr>
      <w:r>
        <w:rPr>
          <w:sz w:val="22"/>
          <w:szCs w:val="22"/>
        </w:rPr>
        <w:t>As noted previously, patents and IPRs offer protection from competition for 10–12 years once the product is ready for marketing. Thereafter many pharmaceutical companies seek patent protection through the process of making minor chemical modifications so that a drug can be considered a new invention, and thus become eligible for new patent protection. This is called ‘evergreening’.</w:t>
      </w:r>
    </w:p>
    <w:p w:rsidR="00AB7884" w:rsidRDefault="00AB7884">
      <w:pPr>
        <w:pStyle w:val="CommentText"/>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0"/>
      </w:tblGrid>
      <w:tr w:rsidR="00AB7884" w:rsidRPr="0034040D" w:rsidTr="00556CD8">
        <w:tc>
          <w:tcPr>
            <w:tcW w:w="8550" w:type="dxa"/>
          </w:tcPr>
          <w:p w:rsidR="00AB7884" w:rsidRPr="0034040D" w:rsidRDefault="00AB7884">
            <w:pPr>
              <w:spacing w:before="120" w:after="120"/>
              <w:rPr>
                <w:rFonts w:ascii="Trebuchet MS" w:eastAsiaTheme="minorEastAsia" w:hAnsi="Trebuchet MS" w:cs="Trebuchet MS"/>
                <w:b/>
                <w:bCs/>
              </w:rPr>
            </w:pPr>
            <w:r w:rsidRPr="0034040D">
              <w:rPr>
                <w:rFonts w:ascii="Trebuchet MS" w:eastAsiaTheme="minorEastAsia" w:hAnsi="Trebuchet MS" w:cs="Trebuchet MS"/>
                <w:b/>
                <w:bCs/>
              </w:rPr>
              <w:t>GLOSSARY</w:t>
            </w:r>
          </w:p>
          <w:p w:rsidR="00AB7884" w:rsidRPr="0034040D" w:rsidRDefault="00AB7884">
            <w:pPr>
              <w:spacing w:before="120" w:after="120"/>
              <w:rPr>
                <w:rFonts w:eastAsiaTheme="minorEastAsia"/>
                <w:b/>
                <w:bCs/>
              </w:rPr>
            </w:pPr>
            <w:r w:rsidRPr="0034040D">
              <w:rPr>
                <w:rFonts w:ascii="Trebuchet MS" w:eastAsiaTheme="minorEastAsia" w:hAnsi="Trebuchet MS" w:cs="Trebuchet MS"/>
                <w:b/>
                <w:bCs/>
              </w:rPr>
              <w:t>Evergreening</w:t>
            </w:r>
            <w:r w:rsidRPr="0034040D">
              <w:rPr>
                <w:rFonts w:ascii="Trebuchet MS" w:eastAsiaTheme="minorEastAsia" w:hAnsi="Trebuchet MS" w:cs="Trebuchet MS"/>
              </w:rPr>
              <w:t>: The brand-name manufacturer ‘stockpiles’ patent protection by obtaining separate 20-year patents on multiple attributes of a single product. These patents can cover everything from aspects of the manufacturing process to tablet colour, or even a chemical produced by the body when the drug is ingested and metabolised by the patient.</w:t>
            </w:r>
            <w:r w:rsidRPr="0034040D">
              <w:rPr>
                <w:rFonts w:ascii="Trebuchet MS" w:eastAsiaTheme="minorEastAsia" w:hAnsi="Trebuchet MS" w:cs="Trebuchet MS"/>
                <w:sz w:val="22"/>
                <w:szCs w:val="22"/>
              </w:rPr>
              <w:t xml:space="preserve"> </w:t>
            </w:r>
          </w:p>
        </w:tc>
      </w:tr>
    </w:tbl>
    <w:p w:rsidR="00AB7884" w:rsidRDefault="00AB7884">
      <w:pPr>
        <w:tabs>
          <w:tab w:val="left" w:pos="540"/>
        </w:tabs>
        <w:rPr>
          <w:rFonts w:ascii="Times New Roman" w:hAnsi="Times New Roman" w:cs="Times New Roman"/>
          <w:sz w:val="22"/>
          <w:szCs w:val="22"/>
          <w:highlight w:val="yellow"/>
        </w:rPr>
      </w:pPr>
    </w:p>
    <w:p w:rsidR="00AB7884" w:rsidRDefault="00AB7884" w:rsidP="00556CD8">
      <w:pPr>
        <w:pStyle w:val="BodyText"/>
        <w:tabs>
          <w:tab w:val="left" w:pos="540"/>
        </w:tabs>
        <w:rPr>
          <w:lang w:val="en-GB" w:eastAsia="en-US"/>
        </w:rPr>
      </w:pPr>
      <w:r>
        <w:rPr>
          <w:lang w:val="en-GB" w:eastAsia="en-US"/>
        </w:rPr>
        <w:t xml:space="preserve">Other strategies used by the pharmaceutical industry to maximise profits are now quite similar to those strategies used by parts of the global food industry, for example, low profit margins, but massive markets. </w:t>
      </w:r>
    </w:p>
    <w:p w:rsidR="00AB7884" w:rsidRDefault="00AB7884">
      <w:pPr>
        <w:tabs>
          <w:tab w:val="left" w:pos="540"/>
        </w:tabs>
        <w:rPr>
          <w:sz w:val="22"/>
          <w:szCs w:val="22"/>
        </w:rPr>
      </w:pPr>
    </w:p>
    <w:p w:rsidR="00AB7884" w:rsidRDefault="00AB7884">
      <w:pPr>
        <w:tabs>
          <w:tab w:val="left" w:pos="540"/>
        </w:tabs>
        <w:rPr>
          <w:sz w:val="22"/>
          <w:szCs w:val="22"/>
        </w:rPr>
      </w:pPr>
      <w:r>
        <w:rPr>
          <w:sz w:val="22"/>
          <w:szCs w:val="22"/>
        </w:rPr>
        <w:t>Sometimes a demand is actually created for medicines, which may not be really necessary on medical or public health grounds. For example it is alleged that the hype over the H1N1 flu, was just that – an artificially created health scare, designed to make the inventors of the vaccine a fortune. Dr Chossudovsky (2009), Director of Global Research, stated that reports released in the UK about the extent of the H1N1 epidemic were ‘totally fabricated’ , and that there was no scientific evidence to support the claims. The flu virus was said to be as dangerous as seasonal flu, and that the vaccine for it had more potential to rapidly and dangerously spread the disease than the virus itself (Dupre, 2009).</w:t>
      </w:r>
    </w:p>
    <w:p w:rsidR="00AB7884" w:rsidRDefault="00AB7884">
      <w:pPr>
        <w:tabs>
          <w:tab w:val="left" w:pos="540"/>
        </w:tabs>
        <w:spacing w:before="240" w:after="120"/>
        <w:rPr>
          <w:rStyle w:val="texto11"/>
          <w:rFonts w:ascii="Trebuchet MS" w:hAnsi="Trebuchet MS" w:cs="Trebuchet MS"/>
          <w:b/>
          <w:bCs/>
          <w:sz w:val="22"/>
          <w:szCs w:val="22"/>
          <w:lang w:val="en-US"/>
        </w:rPr>
      </w:pPr>
    </w:p>
    <w:p w:rsidR="00AB7884" w:rsidRDefault="00AB7884">
      <w:pPr>
        <w:tabs>
          <w:tab w:val="left" w:pos="540"/>
        </w:tabs>
        <w:spacing w:before="240" w:after="120"/>
        <w:rPr>
          <w:rStyle w:val="texto11"/>
          <w:rFonts w:ascii="Times New Roman" w:hAnsi="Times New Roman" w:cs="Times New Roman"/>
        </w:rPr>
      </w:pPr>
      <w:r>
        <w:rPr>
          <w:rStyle w:val="texto11"/>
          <w:rFonts w:ascii="Trebuchet MS" w:hAnsi="Trebuchet MS" w:cs="Trebuchet MS"/>
          <w:b/>
          <w:bCs/>
          <w:sz w:val="22"/>
          <w:szCs w:val="22"/>
          <w:lang w:val="en-US"/>
        </w:rPr>
        <w:lastRenderedPageBreak/>
        <w:t>TRIPS flexibilities: Grounds for overriding a patent</w:t>
      </w:r>
    </w:p>
    <w:p w:rsidR="00AB7884" w:rsidRDefault="00AB7884">
      <w:pPr>
        <w:tabs>
          <w:tab w:val="left" w:pos="540"/>
        </w:tabs>
        <w:spacing w:before="120" w:after="120"/>
        <w:rPr>
          <w:rStyle w:val="texto11"/>
          <w:rFonts w:ascii="Times New Roman" w:hAnsi="Times New Roman" w:cs="Times New Roman"/>
        </w:rPr>
      </w:pPr>
      <w:r>
        <w:rPr>
          <w:rStyle w:val="texto11"/>
          <w:rFonts w:ascii="Trebuchet MS" w:hAnsi="Trebuchet MS" w:cs="Trebuchet MS"/>
          <w:b/>
          <w:bCs/>
          <w:i/>
          <w:iCs/>
          <w:sz w:val="22"/>
          <w:szCs w:val="22"/>
          <w:lang w:val="en-US"/>
        </w:rPr>
        <w:t>Compulsory licensing</w:t>
      </w:r>
    </w:p>
    <w:p w:rsidR="00AB7884" w:rsidRDefault="00AB7884">
      <w:pPr>
        <w:tabs>
          <w:tab w:val="left" w:pos="540"/>
        </w:tabs>
        <w:rPr>
          <w:rStyle w:val="texto11"/>
        </w:rPr>
      </w:pPr>
      <w:r>
        <w:rPr>
          <w:rStyle w:val="texto11"/>
          <w:sz w:val="22"/>
          <w:szCs w:val="22"/>
          <w:lang w:val="en-US"/>
        </w:rPr>
        <w:t>The TRIPS Agreement acknowledges that there are certain grounds for overriding a patent, for example when there is a major epidemic in a country and there is a need to protect public health</w:t>
      </w:r>
      <w:r>
        <w:rPr>
          <w:rStyle w:val="texto11"/>
          <w:b/>
          <w:bCs/>
          <w:i/>
          <w:iCs/>
          <w:sz w:val="22"/>
          <w:szCs w:val="22"/>
          <w:lang w:val="en-US"/>
        </w:rPr>
        <w:t xml:space="preserve">. </w:t>
      </w:r>
      <w:r>
        <w:rPr>
          <w:rStyle w:val="texto11"/>
          <w:sz w:val="22"/>
          <w:szCs w:val="22"/>
          <w:lang w:val="en-US"/>
        </w:rPr>
        <w:t xml:space="preserve">In these cases, a government can force the company that holds the patent to grant other companies a license to manufacture their product. This is called a compulsory license (unlike a voluntary license in which the patent holder chooses to negotiate with others or not). Usually with a compulsory license the patent holder receives a royalty either set by law or determined through arbitration. (The above was brought into effect in the </w:t>
      </w:r>
      <w:r>
        <w:rPr>
          <w:sz w:val="22"/>
          <w:szCs w:val="22"/>
          <w:lang w:val="en-ZA"/>
        </w:rPr>
        <w:t>WTO’s Decision on the Implementation of Paragraph 6 of the Doha Declaration, which specifies when countries can import drugs produced elsewhere under compulsory licensing.)</w:t>
      </w:r>
    </w:p>
    <w:p w:rsidR="00AB7884" w:rsidRDefault="00AB7884">
      <w:pPr>
        <w:tabs>
          <w:tab w:val="left" w:pos="540"/>
        </w:tabs>
        <w:rPr>
          <w:sz w:val="22"/>
          <w:szCs w:val="22"/>
          <w:lang w:eastAsia="en-ZA"/>
        </w:rPr>
      </w:pPr>
    </w:p>
    <w:p w:rsidR="00AB7884" w:rsidRDefault="00AB7884">
      <w:pPr>
        <w:pStyle w:val="BodyText3"/>
        <w:rPr>
          <w:rStyle w:val="texto11"/>
        </w:rPr>
      </w:pPr>
      <w:r>
        <w:rPr>
          <w:rStyle w:val="texto11"/>
          <w:sz w:val="22"/>
          <w:szCs w:val="22"/>
        </w:rPr>
        <w:t>The public health protections offered under the TRIPS Agreement are extremely difficult to implement and are subject to a range of terms and conditions, most of which protect trade interests rather than public health. For example, Roche is the patent-holder of the anti-viral drug Tamiflu™. In 2005, there were fears of a global influenza epidemic and Roche was under pressure to issue voluntary licenses to allow other companies to manufacture Tamiflu™. However, the Taiwanese government decided to secure access to Tamiflu™ by using the compulsory license allowed under the TRIPS Agreement.</w:t>
      </w:r>
    </w:p>
    <w:p w:rsidR="00AB7884" w:rsidRDefault="00AB7884">
      <w:pPr>
        <w:tabs>
          <w:tab w:val="left" w:pos="540"/>
        </w:tabs>
        <w:rPr>
          <w:rStyle w:val="texto11"/>
        </w:rPr>
      </w:pPr>
    </w:p>
    <w:p w:rsidR="00AB7884" w:rsidRDefault="00AB7884">
      <w:pPr>
        <w:tabs>
          <w:tab w:val="left" w:pos="540"/>
        </w:tabs>
        <w:rPr>
          <w:rStyle w:val="texto11"/>
        </w:rPr>
      </w:pPr>
      <w:r>
        <w:rPr>
          <w:rStyle w:val="texto11"/>
          <w:sz w:val="22"/>
          <w:szCs w:val="22"/>
          <w:lang w:val="en-US"/>
        </w:rPr>
        <w:t>In return the Taiwanese government agreed to the following conditions:</w:t>
      </w:r>
      <w:r>
        <w:rPr>
          <w:rStyle w:val="texto11"/>
          <w:sz w:val="22"/>
          <w:szCs w:val="22"/>
          <w:lang w:val="en-US"/>
        </w:rPr>
        <w:br/>
      </w:r>
    </w:p>
    <w:p w:rsidR="00AB7884" w:rsidRDefault="00AB7884" w:rsidP="007F44B4">
      <w:pPr>
        <w:pStyle w:val="ListParagraph"/>
        <w:numPr>
          <w:ilvl w:val="0"/>
          <w:numId w:val="43"/>
        </w:numPr>
        <w:tabs>
          <w:tab w:val="left" w:pos="426"/>
        </w:tabs>
        <w:rPr>
          <w:rStyle w:val="texto11"/>
        </w:rPr>
      </w:pPr>
      <w:r>
        <w:rPr>
          <w:rStyle w:val="texto11"/>
          <w:sz w:val="22"/>
          <w:szCs w:val="22"/>
          <w:lang w:val="en-US"/>
        </w:rPr>
        <w:t>the compulsory license would expire at the end of 2007</w:t>
      </w:r>
    </w:p>
    <w:p w:rsidR="00AB7884" w:rsidRDefault="00AB7884" w:rsidP="007F44B4">
      <w:pPr>
        <w:pStyle w:val="ListParagraph"/>
        <w:numPr>
          <w:ilvl w:val="0"/>
          <w:numId w:val="43"/>
        </w:numPr>
        <w:tabs>
          <w:tab w:val="left" w:pos="426"/>
        </w:tabs>
        <w:rPr>
          <w:rStyle w:val="texto11"/>
        </w:rPr>
      </w:pPr>
      <w:r>
        <w:rPr>
          <w:rStyle w:val="texto11"/>
          <w:sz w:val="22"/>
          <w:szCs w:val="22"/>
          <w:lang w:val="en-US"/>
        </w:rPr>
        <w:t>Taiwan would pay a license fee to Roche</w:t>
      </w:r>
    </w:p>
    <w:p w:rsidR="00AB7884" w:rsidRDefault="00AB7884" w:rsidP="007F44B4">
      <w:pPr>
        <w:pStyle w:val="ListParagraph"/>
        <w:numPr>
          <w:ilvl w:val="0"/>
          <w:numId w:val="43"/>
        </w:numPr>
        <w:tabs>
          <w:tab w:val="left" w:pos="426"/>
        </w:tabs>
        <w:rPr>
          <w:rStyle w:val="texto11"/>
        </w:rPr>
      </w:pPr>
      <w:r>
        <w:rPr>
          <w:rStyle w:val="texto11"/>
          <w:sz w:val="22"/>
          <w:szCs w:val="22"/>
          <w:lang w:val="en-US"/>
        </w:rPr>
        <w:t>the production of the drug would be for the domestic Taiwanese market only</w:t>
      </w:r>
    </w:p>
    <w:p w:rsidR="00AB7884" w:rsidRDefault="00AB7884" w:rsidP="007F44B4">
      <w:pPr>
        <w:pStyle w:val="ListParagraph"/>
        <w:numPr>
          <w:ilvl w:val="0"/>
          <w:numId w:val="43"/>
        </w:numPr>
        <w:tabs>
          <w:tab w:val="left" w:pos="426"/>
          <w:tab w:val="left" w:pos="540"/>
        </w:tabs>
        <w:rPr>
          <w:rStyle w:val="texto11"/>
        </w:rPr>
      </w:pPr>
      <w:r>
        <w:rPr>
          <w:rStyle w:val="texto11"/>
          <w:sz w:val="22"/>
          <w:szCs w:val="22"/>
          <w:lang w:val="en-US"/>
        </w:rPr>
        <w:t>Taiwan would first use up all drugs supplied by Roche before using the locally produced drugs</w:t>
      </w:r>
    </w:p>
    <w:p w:rsidR="00AB7884" w:rsidRDefault="00AB7884" w:rsidP="007F44B4">
      <w:pPr>
        <w:pStyle w:val="ListParagraph"/>
        <w:numPr>
          <w:ilvl w:val="0"/>
          <w:numId w:val="43"/>
        </w:numPr>
        <w:tabs>
          <w:tab w:val="left" w:pos="426"/>
        </w:tabs>
        <w:rPr>
          <w:rStyle w:val="texto11"/>
        </w:rPr>
      </w:pPr>
      <w:r>
        <w:rPr>
          <w:rStyle w:val="texto11"/>
          <w:sz w:val="22"/>
          <w:szCs w:val="22"/>
          <w:lang w:val="en-US"/>
        </w:rPr>
        <w:t xml:space="preserve">the compulsory license would be revoked once a voluntary license was agreed to. </w:t>
      </w:r>
    </w:p>
    <w:p w:rsidR="00AB7884" w:rsidRDefault="00AB7884">
      <w:pPr>
        <w:tabs>
          <w:tab w:val="left" w:pos="540"/>
        </w:tabs>
        <w:rPr>
          <w:rStyle w:val="texto11"/>
        </w:rPr>
      </w:pPr>
    </w:p>
    <w:p w:rsidR="00AB7884" w:rsidRDefault="00AB7884" w:rsidP="00556CD8">
      <w:pPr>
        <w:pBdr>
          <w:bottom w:val="single" w:sz="4" w:space="1" w:color="auto"/>
        </w:pBdr>
        <w:tabs>
          <w:tab w:val="left" w:pos="540"/>
        </w:tabs>
        <w:rPr>
          <w:rStyle w:val="texto11"/>
        </w:rPr>
      </w:pPr>
      <w:r>
        <w:rPr>
          <w:rStyle w:val="texto11"/>
          <w:sz w:val="22"/>
          <w:szCs w:val="22"/>
          <w:lang w:val="en-US"/>
        </w:rPr>
        <w:t xml:space="preserve">In effect, these terms meant that Roche would provide Taiwan with a stockpile of Tamiflu™ and Taiwan would only manufacture Tamiflu™ if a pandemic hit and the stockpiles were used up (Kerry &amp; Lee, 2007). </w:t>
      </w:r>
    </w:p>
    <w:p w:rsidR="00AB7884" w:rsidRDefault="00AB7884" w:rsidP="00556CD8">
      <w:pPr>
        <w:pBdr>
          <w:bottom w:val="single" w:sz="4" w:space="1" w:color="auto"/>
        </w:pBdr>
        <w:tabs>
          <w:tab w:val="left" w:pos="540"/>
        </w:tabs>
        <w:rPr>
          <w:rStyle w:val="texto11"/>
          <w:rFonts w:ascii="Times New Roman" w:hAnsi="Times New Roman" w:cs="Times New Roman"/>
        </w:rPr>
      </w:pPr>
    </w:p>
    <w:tbl>
      <w:tblPr>
        <w:tblW w:w="8550" w:type="dxa"/>
        <w:tblInd w:w="108" w:type="dxa"/>
        <w:tblBorders>
          <w:left w:val="single" w:sz="4" w:space="0" w:color="auto"/>
          <w:bottom w:val="single" w:sz="4" w:space="0" w:color="auto"/>
          <w:right w:val="single" w:sz="4" w:space="0" w:color="auto"/>
          <w:insideH w:val="single" w:sz="4" w:space="0" w:color="auto"/>
          <w:insideV w:val="single" w:sz="4" w:space="0" w:color="auto"/>
        </w:tblBorders>
        <w:tblLook w:val="0000"/>
      </w:tblPr>
      <w:tblGrid>
        <w:gridCol w:w="1334"/>
        <w:gridCol w:w="7216"/>
      </w:tblGrid>
      <w:tr w:rsidR="00AB7884" w:rsidRPr="0034040D" w:rsidTr="00556CD8">
        <w:trPr>
          <w:trHeight w:val="963"/>
        </w:trPr>
        <w:tc>
          <w:tcPr>
            <w:tcW w:w="1334" w:type="dxa"/>
          </w:tcPr>
          <w:p w:rsidR="00AB7884" w:rsidRPr="0034040D" w:rsidRDefault="00C42A6B">
            <w:pPr>
              <w:spacing w:before="120" w:after="120"/>
              <w:rPr>
                <w:rFonts w:ascii="Trebuchet MS" w:eastAsiaTheme="minorEastAsia" w:hAnsi="Trebuchet MS" w:cs="Trebuchet MS"/>
                <w:b/>
                <w:bCs/>
              </w:rPr>
            </w:pPr>
            <w:r w:rsidRPr="00717A10">
              <w:rPr>
                <w:rFonts w:ascii="Trebuchet MS" w:eastAsiaTheme="minorEastAsia" w:hAnsi="Trebuchet MS" w:cs="Trebuchet MS"/>
              </w:rPr>
              <w:pict>
                <v:shape id="_x0000_i1072" type="#_x0000_t75" style="width:51pt;height:63pt" filled="t" fillcolor="silver">
                  <v:imagedata r:id="rId10" o:title=""/>
                </v:shape>
              </w:pict>
            </w:r>
          </w:p>
        </w:tc>
        <w:tc>
          <w:tcPr>
            <w:tcW w:w="7216" w:type="dxa"/>
          </w:tcPr>
          <w:p w:rsidR="00AB7884" w:rsidRPr="0034040D" w:rsidRDefault="00AB7884">
            <w:pPr>
              <w:pStyle w:val="EndnoteText"/>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DVD Resource</w:t>
            </w:r>
            <w:r w:rsidR="008A1BC5">
              <w:rPr>
                <w:rFonts w:ascii="Trebuchet MS" w:eastAsiaTheme="minorEastAsia" w:hAnsi="Trebuchet MS" w:cs="Trebuchet MS"/>
                <w:b/>
                <w:bCs/>
                <w:sz w:val="22"/>
                <w:szCs w:val="22"/>
              </w:rPr>
              <w:t xml:space="preserve"> [See DVD Unit 2]</w:t>
            </w:r>
          </w:p>
          <w:p w:rsidR="00AB7884" w:rsidRPr="0034040D" w:rsidRDefault="00AB7884">
            <w:pPr>
              <w:pStyle w:val="EndnoteText"/>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sz w:val="22"/>
                <w:szCs w:val="22"/>
              </w:rPr>
              <w:t>Did Big Pharma amplify H1N1 scare.flv.</w:t>
            </w:r>
          </w:p>
        </w:tc>
      </w:tr>
    </w:tbl>
    <w:p w:rsidR="00AB7884" w:rsidRDefault="00AB7884">
      <w:pPr>
        <w:autoSpaceDE w:val="0"/>
        <w:autoSpaceDN w:val="0"/>
        <w:adjustRightInd w:val="0"/>
        <w:rPr>
          <w:sz w:val="22"/>
          <w:szCs w:val="22"/>
          <w:lang w:val="en-ZA" w:eastAsia="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0"/>
      </w:tblGrid>
      <w:tr w:rsidR="00AB7884" w:rsidRPr="0034040D" w:rsidTr="00556CD8">
        <w:trPr>
          <w:trHeight w:val="1783"/>
        </w:trPr>
        <w:tc>
          <w:tcPr>
            <w:tcW w:w="8550" w:type="dxa"/>
          </w:tcPr>
          <w:p w:rsidR="00AB7884" w:rsidRPr="0034040D" w:rsidRDefault="00AB7884">
            <w:pPr>
              <w:tabs>
                <w:tab w:val="left" w:pos="540"/>
              </w:tabs>
              <w:spacing w:before="120" w:after="120"/>
              <w:rPr>
                <w:rStyle w:val="texto11"/>
                <w:rFonts w:ascii="Times New Roman" w:eastAsiaTheme="minorEastAsia" w:hAnsi="Times New Roman" w:cs="Times New Roman"/>
              </w:rPr>
            </w:pPr>
            <w:r w:rsidRPr="0034040D">
              <w:rPr>
                <w:rStyle w:val="texto11"/>
                <w:rFonts w:ascii="Trebuchet MS" w:eastAsiaTheme="minorEastAsia" w:hAnsi="Trebuchet MS" w:cs="Trebuchet MS"/>
                <w:b/>
                <w:bCs/>
                <w:sz w:val="22"/>
                <w:szCs w:val="22"/>
              </w:rPr>
              <w:t xml:space="preserve">SUPPLEMENTARY READINGS </w:t>
            </w:r>
            <w:r w:rsidR="0093204D">
              <w:rPr>
                <w:rStyle w:val="texto11"/>
                <w:rFonts w:ascii="Trebuchet MS" w:eastAsiaTheme="minorEastAsia" w:hAnsi="Trebuchet MS" w:cs="Trebuchet MS"/>
                <w:b/>
                <w:bCs/>
                <w:sz w:val="22"/>
                <w:szCs w:val="22"/>
              </w:rPr>
              <w:t>[See DVD Unit 2]</w:t>
            </w:r>
          </w:p>
          <w:p w:rsidR="00AB7884" w:rsidRPr="0034040D" w:rsidRDefault="00AB7884">
            <w:pPr>
              <w:tabs>
                <w:tab w:val="left" w:pos="540"/>
              </w:tabs>
              <w:spacing w:after="120"/>
              <w:rPr>
                <w:rStyle w:val="texto11"/>
                <w:rFonts w:ascii="Times New Roman" w:eastAsiaTheme="minorEastAsia" w:hAnsi="Times New Roman" w:cs="Times New Roman"/>
              </w:rPr>
            </w:pPr>
            <w:r w:rsidRPr="0034040D">
              <w:rPr>
                <w:rStyle w:val="texto11"/>
                <w:rFonts w:ascii="Trebuchet MS" w:eastAsiaTheme="minorEastAsia" w:hAnsi="Trebuchet MS" w:cs="Trebuchet MS"/>
                <w:sz w:val="22"/>
                <w:szCs w:val="22"/>
              </w:rPr>
              <w:t xml:space="preserve">Aldis, W.L. (2006). It could be a matter of life and death. </w:t>
            </w:r>
            <w:r w:rsidRPr="0034040D">
              <w:rPr>
                <w:rStyle w:val="texto11"/>
                <w:rFonts w:ascii="Trebuchet MS" w:eastAsiaTheme="minorEastAsia" w:hAnsi="Trebuchet MS" w:cs="Trebuchet MS"/>
                <w:i/>
                <w:iCs/>
                <w:sz w:val="22"/>
                <w:szCs w:val="22"/>
              </w:rPr>
              <w:t>Bangkok</w:t>
            </w:r>
            <w:r w:rsidRPr="0034040D">
              <w:rPr>
                <w:rStyle w:val="texto11"/>
                <w:rFonts w:ascii="Trebuchet MS" w:eastAsiaTheme="minorEastAsia" w:hAnsi="Trebuchet MS" w:cs="Trebuchet MS"/>
                <w:sz w:val="22"/>
                <w:szCs w:val="22"/>
              </w:rPr>
              <w:t xml:space="preserve"> </w:t>
            </w:r>
            <w:r w:rsidRPr="0034040D">
              <w:rPr>
                <w:rStyle w:val="texto11"/>
                <w:rFonts w:ascii="Trebuchet MS" w:eastAsiaTheme="minorEastAsia" w:hAnsi="Trebuchet MS" w:cs="Trebuchet MS"/>
                <w:i/>
                <w:iCs/>
                <w:sz w:val="22"/>
                <w:szCs w:val="22"/>
              </w:rPr>
              <w:t>Post</w:t>
            </w:r>
            <w:r w:rsidRPr="0034040D">
              <w:rPr>
                <w:rStyle w:val="texto11"/>
                <w:rFonts w:ascii="Trebuchet MS" w:eastAsiaTheme="minorEastAsia" w:hAnsi="Trebuchet MS" w:cs="Trebuchet MS"/>
                <w:sz w:val="22"/>
                <w:szCs w:val="22"/>
              </w:rPr>
              <w:t>, 9 January, 2006.</w:t>
            </w:r>
          </w:p>
          <w:p w:rsidR="00AB7884" w:rsidRPr="0034040D" w:rsidRDefault="00AB7884">
            <w:pPr>
              <w:autoSpaceDE w:val="0"/>
              <w:autoSpaceDN w:val="0"/>
              <w:adjustRightInd w:val="0"/>
              <w:rPr>
                <w:rStyle w:val="texto11"/>
                <w:rFonts w:ascii="Times New Roman" w:eastAsiaTheme="minorEastAsia" w:hAnsi="Times New Roman" w:cs="Times New Roman"/>
              </w:rPr>
            </w:pPr>
            <w:r w:rsidRPr="0034040D">
              <w:rPr>
                <w:rFonts w:ascii="Trebuchet MS" w:eastAsiaTheme="minorEastAsia" w:hAnsi="Trebuchet MS" w:cs="Trebuchet MS"/>
                <w:kern w:val="36"/>
                <w:sz w:val="22"/>
                <w:szCs w:val="22"/>
                <w:lang w:eastAsia="en-ZA"/>
              </w:rPr>
              <w:t xml:space="preserve">Khor, M. (2005). </w:t>
            </w:r>
            <w:r w:rsidRPr="0034040D">
              <w:rPr>
                <w:rFonts w:ascii="Trebuchet MS" w:eastAsiaTheme="minorEastAsia" w:hAnsi="Trebuchet MS" w:cs="Trebuchet MS"/>
                <w:sz w:val="22"/>
                <w:szCs w:val="22"/>
                <w:lang w:eastAsia="en-ZA"/>
              </w:rPr>
              <w:t xml:space="preserve">Avian flu fear sparks chase for drugs, </w:t>
            </w:r>
            <w:r w:rsidRPr="0034040D">
              <w:rPr>
                <w:rFonts w:ascii="Trebuchet MS" w:eastAsiaTheme="minorEastAsia" w:hAnsi="Trebuchet MS" w:cs="Trebuchet MS"/>
                <w:i/>
                <w:iCs/>
                <w:sz w:val="22"/>
                <w:szCs w:val="22"/>
                <w:lang w:eastAsia="en-ZA"/>
              </w:rPr>
              <w:t>Third World Network</w:t>
            </w:r>
            <w:r w:rsidRPr="0034040D">
              <w:rPr>
                <w:rFonts w:ascii="Trebuchet MS" w:eastAsiaTheme="minorEastAsia" w:hAnsi="Trebuchet MS" w:cs="Trebuchet MS"/>
                <w:sz w:val="22"/>
                <w:szCs w:val="22"/>
                <w:lang w:eastAsia="en-ZA"/>
              </w:rPr>
              <w:t xml:space="preserve">, </w:t>
            </w:r>
            <w:r w:rsidRPr="0034040D">
              <w:rPr>
                <w:rFonts w:ascii="Trebuchet MS" w:eastAsiaTheme="minorEastAsia" w:hAnsi="Trebuchet MS" w:cs="Trebuchet MS"/>
                <w:i/>
                <w:iCs/>
                <w:sz w:val="22"/>
                <w:szCs w:val="22"/>
                <w:lang w:eastAsia="en-ZA"/>
              </w:rPr>
              <w:t xml:space="preserve">Global Trends, </w:t>
            </w:r>
            <w:r w:rsidRPr="0034040D">
              <w:rPr>
                <w:rFonts w:ascii="Trebuchet MS" w:eastAsiaTheme="minorEastAsia" w:hAnsi="Trebuchet MS" w:cs="Trebuchet MS"/>
                <w:sz w:val="22"/>
                <w:szCs w:val="22"/>
                <w:lang w:eastAsia="en-ZA"/>
              </w:rPr>
              <w:t>Monday 28 November 2005.</w:t>
            </w:r>
          </w:p>
        </w:tc>
      </w:tr>
    </w:tbl>
    <w:p w:rsidR="00AB7884" w:rsidRDefault="00AB7884">
      <w:pPr>
        <w:autoSpaceDE w:val="0"/>
        <w:autoSpaceDN w:val="0"/>
        <w:adjustRightInd w:val="0"/>
        <w:spacing w:before="240" w:after="120"/>
        <w:rPr>
          <w:sz w:val="22"/>
          <w:szCs w:val="22"/>
          <w:lang w:val="en-ZA"/>
        </w:rPr>
      </w:pPr>
      <w:r>
        <w:rPr>
          <w:sz w:val="22"/>
          <w:szCs w:val="22"/>
          <w:lang w:val="en-ZA" w:eastAsia="en-ZA"/>
        </w:rPr>
        <w:t xml:space="preserve">Many developing countries have come under pressure in trade negotiations not to use TRIPS flexibilities and to implement even tougher rules than those set out in TRIPS. </w:t>
      </w:r>
      <w:r>
        <w:rPr>
          <w:sz w:val="22"/>
          <w:szCs w:val="22"/>
          <w:lang w:eastAsia="en-ZA"/>
        </w:rPr>
        <w:lastRenderedPageBreak/>
        <w:t>High-income countries routinely use bilateral and regional trade agreements (called TRIPS-Plus) with some LIMC, which impose stricter intellectual property protection than under TRIPS.</w:t>
      </w:r>
    </w:p>
    <w:p w:rsidR="00AB7884" w:rsidRDefault="00AB7884">
      <w:pPr>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8"/>
      </w:tblGrid>
      <w:tr w:rsidR="00AB7884" w:rsidRPr="0034040D">
        <w:tc>
          <w:tcPr>
            <w:tcW w:w="8188" w:type="dxa"/>
          </w:tcPr>
          <w:p w:rsidR="00AB7884" w:rsidRPr="0034040D" w:rsidRDefault="00AB7884">
            <w:pPr>
              <w:pStyle w:val="NormalWeb"/>
              <w:spacing w:before="120" w:beforeAutospacing="0" w:after="120" w:afterAutospacing="0"/>
              <w:rPr>
                <w:rFonts w:ascii="Trebuchet MS" w:eastAsiaTheme="minorEastAsia" w:hAnsi="Trebuchet MS" w:cs="Trebuchet MS"/>
                <w:b/>
                <w:bCs/>
                <w:sz w:val="22"/>
                <w:szCs w:val="22"/>
              </w:rPr>
            </w:pPr>
            <w:r w:rsidRPr="0034040D">
              <w:rPr>
                <w:rFonts w:eastAsiaTheme="minorEastAsia"/>
                <w:sz w:val="20"/>
                <w:szCs w:val="20"/>
                <w:lang w:val="en-GB" w:eastAsia="en-US"/>
              </w:rPr>
              <w:br w:type="page"/>
            </w:r>
            <w:r w:rsidRPr="0034040D">
              <w:rPr>
                <w:rStyle w:val="texto11"/>
                <w:rFonts w:eastAsiaTheme="minorEastAsia"/>
                <w:sz w:val="22"/>
                <w:szCs w:val="22"/>
                <w:lang w:val="en-US"/>
              </w:rPr>
              <w:br w:type="page"/>
            </w:r>
            <w:r w:rsidRPr="0034040D">
              <w:rPr>
                <w:rFonts w:ascii="Trebuchet MS" w:eastAsiaTheme="minorEastAsia" w:hAnsi="Trebuchet MS" w:cs="Trebuchet MS"/>
                <w:b/>
                <w:bCs/>
                <w:sz w:val="22"/>
                <w:szCs w:val="22"/>
              </w:rPr>
              <w:t xml:space="preserve">TASK 2 </w:t>
            </w:r>
            <w:r w:rsidRPr="0034040D">
              <w:rPr>
                <w:rFonts w:eastAsiaTheme="minorEastAsia"/>
                <w:b/>
                <w:bCs/>
                <w:sz w:val="22"/>
                <w:szCs w:val="22"/>
              </w:rPr>
              <w:t>─</w:t>
            </w:r>
            <w:r w:rsidRPr="0034040D">
              <w:rPr>
                <w:rFonts w:ascii="Trebuchet MS" w:eastAsiaTheme="minorEastAsia" w:hAnsi="Trebuchet MS" w:cs="Trebuchet MS"/>
                <w:b/>
                <w:bCs/>
                <w:sz w:val="22"/>
                <w:szCs w:val="22"/>
              </w:rPr>
              <w:t xml:space="preserve"> Explain Big Pharma’s long tentacles</w:t>
            </w:r>
          </w:p>
          <w:p w:rsidR="00AB7884" w:rsidRPr="0034040D" w:rsidRDefault="00AB7884">
            <w:pPr>
              <w:pStyle w:val="NormalWeb"/>
              <w:spacing w:before="0" w:beforeAutospacing="0" w:after="0" w:afterAutospacing="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 xml:space="preserve">READING </w:t>
            </w:r>
          </w:p>
          <w:p w:rsidR="00AB7884" w:rsidRPr="0034040D" w:rsidRDefault="00AB7884">
            <w:pPr>
              <w:pStyle w:val="NormalWeb"/>
              <w:spacing w:before="240" w:beforeAutospacing="0" w:after="120" w:afterAutospacing="0"/>
              <w:rPr>
                <w:rFonts w:ascii="Trebuchet MS" w:eastAsiaTheme="minorEastAsia" w:hAnsi="Trebuchet MS" w:cs="Trebuchet MS"/>
                <w:sz w:val="22"/>
                <w:szCs w:val="22"/>
              </w:rPr>
            </w:pPr>
            <w:r w:rsidRPr="0034040D">
              <w:rPr>
                <w:rFonts w:ascii="Trebuchet MS" w:eastAsiaTheme="minorEastAsia" w:hAnsi="Trebuchet MS" w:cs="Trebuchet MS"/>
                <w:sz w:val="22"/>
                <w:szCs w:val="22"/>
              </w:rPr>
              <w:t xml:space="preserve">Aldis, W. L. </w:t>
            </w:r>
            <w:r w:rsidRPr="0034040D">
              <w:rPr>
                <w:rFonts w:eastAsiaTheme="minorEastAsia"/>
                <w:sz w:val="22"/>
                <w:szCs w:val="22"/>
              </w:rPr>
              <w:t xml:space="preserve">(2010). Industry influence: Big Pharma’s long tentacles. </w:t>
            </w:r>
            <w:r w:rsidRPr="0034040D">
              <w:rPr>
                <w:rFonts w:eastAsiaTheme="minorEastAsia"/>
                <w:i/>
                <w:iCs/>
                <w:sz w:val="22"/>
                <w:szCs w:val="22"/>
              </w:rPr>
              <w:t>British Medical Journal,</w:t>
            </w:r>
            <w:r w:rsidRPr="0034040D">
              <w:rPr>
                <w:rFonts w:eastAsiaTheme="minorEastAsia"/>
                <w:sz w:val="22"/>
                <w:szCs w:val="22"/>
              </w:rPr>
              <w:t xml:space="preserve"> 2010: 340:c941</w:t>
            </w:r>
            <w:r w:rsidR="0093204D">
              <w:rPr>
                <w:rFonts w:eastAsiaTheme="minorEastAsia"/>
                <w:sz w:val="22"/>
                <w:szCs w:val="22"/>
              </w:rPr>
              <w:t xml:space="preserve"> [2 pages].</w:t>
            </w:r>
          </w:p>
          <w:p w:rsidR="00AB7884" w:rsidRPr="0034040D" w:rsidRDefault="00AB7884">
            <w:pPr>
              <w:pStyle w:val="NormalWeb"/>
              <w:spacing w:before="240" w:beforeAutospacing="0" w:after="120" w:afterAutospacing="0"/>
              <w:rPr>
                <w:rFonts w:ascii="Trebuchet MS" w:eastAsiaTheme="minorEastAsia" w:hAnsi="Trebuchet MS" w:cs="Trebuchet MS"/>
                <w:sz w:val="22"/>
                <w:szCs w:val="22"/>
              </w:rPr>
            </w:pPr>
            <w:r w:rsidRPr="0034040D">
              <w:rPr>
                <w:rFonts w:ascii="Trebuchet MS" w:eastAsiaTheme="minorEastAsia" w:hAnsi="Trebuchet MS" w:cs="Trebuchet MS"/>
                <w:sz w:val="22"/>
                <w:szCs w:val="22"/>
              </w:rPr>
              <w:t>After doing the above readings, answer these questions:</w:t>
            </w:r>
          </w:p>
          <w:p w:rsidR="00AB7884" w:rsidRPr="0034040D" w:rsidRDefault="00AB7884" w:rsidP="007F44B4">
            <w:pPr>
              <w:pStyle w:val="NormalWeb"/>
              <w:numPr>
                <w:ilvl w:val="0"/>
                <w:numId w:val="45"/>
              </w:numPr>
              <w:spacing w:before="0" w:beforeAutospacing="0" w:after="0" w:afterAutospacing="0"/>
              <w:ind w:left="357" w:hanging="357"/>
              <w:rPr>
                <w:rFonts w:ascii="Trebuchet MS" w:eastAsiaTheme="minorEastAsia" w:hAnsi="Trebuchet MS" w:cs="Trebuchet MS"/>
                <w:b/>
                <w:bCs/>
                <w:sz w:val="22"/>
                <w:szCs w:val="22"/>
              </w:rPr>
            </w:pPr>
            <w:r w:rsidRPr="0034040D">
              <w:rPr>
                <w:rFonts w:ascii="Trebuchet MS" w:eastAsiaTheme="minorEastAsia" w:hAnsi="Trebuchet MS" w:cs="Trebuchet MS"/>
                <w:sz w:val="22"/>
                <w:szCs w:val="22"/>
              </w:rPr>
              <w:t>Explain how Aldis interprets the problem of generic versus brand products.</w:t>
            </w:r>
          </w:p>
          <w:p w:rsidR="00AB7884" w:rsidRPr="0034040D" w:rsidRDefault="00AB7884" w:rsidP="007F44B4">
            <w:pPr>
              <w:pStyle w:val="NormalWeb"/>
              <w:numPr>
                <w:ilvl w:val="0"/>
                <w:numId w:val="45"/>
              </w:numPr>
              <w:spacing w:before="0" w:beforeAutospacing="0" w:after="120" w:afterAutospacing="0"/>
              <w:ind w:left="357" w:hanging="357"/>
              <w:rPr>
                <w:rFonts w:ascii="Trebuchet MS" w:eastAsiaTheme="minorEastAsia" w:hAnsi="Trebuchet MS" w:cs="Trebuchet MS"/>
                <w:b/>
                <w:bCs/>
                <w:sz w:val="22"/>
                <w:szCs w:val="22"/>
              </w:rPr>
            </w:pPr>
            <w:r w:rsidRPr="0034040D">
              <w:rPr>
                <w:rFonts w:ascii="Trebuchet MS" w:eastAsiaTheme="minorEastAsia" w:hAnsi="Trebuchet MS" w:cs="Trebuchet MS"/>
                <w:sz w:val="22"/>
                <w:szCs w:val="22"/>
              </w:rPr>
              <w:t>Explain what he means by ‘Big Pharma’s long tentacles’</w:t>
            </w:r>
            <w:r w:rsidRPr="0034040D">
              <w:rPr>
                <w:rFonts w:eastAsiaTheme="minorEastAsia"/>
                <w:sz w:val="22"/>
                <w:szCs w:val="22"/>
              </w:rPr>
              <w:t xml:space="preserve">. </w:t>
            </w:r>
          </w:p>
        </w:tc>
      </w:tr>
    </w:tbl>
    <w:p w:rsidR="00AB7884" w:rsidRDefault="00AB7884">
      <w:pPr>
        <w:spacing w:before="240" w:after="120"/>
        <w:rPr>
          <w:rFonts w:ascii="Trebuchet MS" w:hAnsi="Trebuchet MS" w:cs="Trebuchet MS"/>
          <w:b/>
          <w:bCs/>
          <w:color w:val="333333"/>
          <w:sz w:val="22"/>
          <w:szCs w:val="22"/>
        </w:rPr>
      </w:pPr>
      <w:r>
        <w:rPr>
          <w:rFonts w:ascii="Trebuchet MS" w:hAnsi="Trebuchet MS" w:cs="Trebuchet MS"/>
          <w:b/>
          <w:bCs/>
          <w:color w:val="333333"/>
          <w:sz w:val="22"/>
          <w:szCs w:val="22"/>
        </w:rPr>
        <w:t>FEEDBACK</w:t>
      </w:r>
    </w:p>
    <w:p w:rsidR="00AB7884" w:rsidRDefault="00AB7884">
      <w:pPr>
        <w:pStyle w:val="BodyText"/>
        <w:spacing w:before="30" w:after="150"/>
        <w:rPr>
          <w:lang w:val="en-GB" w:eastAsia="en-US"/>
        </w:rPr>
      </w:pPr>
      <w:r>
        <w:rPr>
          <w:lang w:val="en-GB" w:eastAsia="en-US"/>
        </w:rPr>
        <w:t xml:space="preserve">Your answers may differ. Aldis sees the problem as one bioavailability of both generic and brand drugs, rather than with generic drugs per se. He questions the opinions given by ‘experts’ about the safety and effectiveness of generic medicines, especially as they are linked in some way to Big Pharma and appear to be acting in the interests of Big Pharma rather than in the public’s interests. </w:t>
      </w:r>
    </w:p>
    <w:p w:rsidR="00AB7884" w:rsidRDefault="00AB7884">
      <w:pPr>
        <w:tabs>
          <w:tab w:val="left" w:pos="540"/>
        </w:tabs>
        <w:spacing w:before="240" w:after="120"/>
        <w:rPr>
          <w:rStyle w:val="texto11"/>
          <w:rFonts w:ascii="Times New Roman" w:hAnsi="Times New Roman" w:cs="Times New Roman"/>
        </w:rPr>
      </w:pPr>
      <w:r>
        <w:rPr>
          <w:rStyle w:val="texto11"/>
          <w:rFonts w:ascii="Trebuchet MS" w:hAnsi="Trebuchet MS" w:cs="Trebuchet MS"/>
          <w:b/>
          <w:bCs/>
          <w:i/>
          <w:iCs/>
          <w:sz w:val="22"/>
          <w:szCs w:val="22"/>
          <w:lang w:val="en-US"/>
        </w:rPr>
        <w:t>Parallel imports, grey imports and ‘exhaustion’ of rights</w:t>
      </w:r>
    </w:p>
    <w:p w:rsidR="00AB7884" w:rsidRDefault="00AB7884">
      <w:pPr>
        <w:tabs>
          <w:tab w:val="left" w:pos="540"/>
        </w:tabs>
        <w:rPr>
          <w:sz w:val="22"/>
          <w:szCs w:val="22"/>
          <w:lang w:val="en-ZA"/>
        </w:rPr>
      </w:pPr>
      <w:r>
        <w:rPr>
          <w:rStyle w:val="texto11"/>
          <w:sz w:val="22"/>
          <w:szCs w:val="22"/>
          <w:lang w:val="en-US"/>
        </w:rPr>
        <w:t>Products are sometimes sold with the permission of the patent or trademark owner in one country, and then resold and imported into another country without the approval of the patent owner. For example, Z Pharmaceuticals has a drug, which it has patented and sells in both Country A and Country B. But it sells the drug at a lower price in Country B. Another company buys the drug in Country B (at the lower price) and then imports it into Country A and sells it at a price that is lower than Z Pharmaceutical’s price. This is a parallel or grey import. The legal principle here is called, ‘exhaustion’. This means that Z Pharmaceuticals has sold a batch of its product in Country B and has exhausted it patent rights on that batch. So it no longer has any patent rights over what happens to that batch (WTO, 2006).</w:t>
      </w:r>
    </w:p>
    <w:p w:rsidR="00AB7884" w:rsidRDefault="00AB7884">
      <w:pPr>
        <w:pStyle w:val="NormalWeb"/>
        <w:spacing w:before="240" w:beforeAutospacing="0" w:after="120" w:afterAutospacing="0"/>
        <w:rPr>
          <w:rFonts w:ascii="Trebuchet MS" w:hAnsi="Trebuchet MS" w:cs="Trebuchet MS"/>
          <w:b/>
          <w:bCs/>
          <w:i/>
          <w:iCs/>
          <w:sz w:val="22"/>
          <w:szCs w:val="22"/>
        </w:rPr>
      </w:pPr>
      <w:r>
        <w:rPr>
          <w:rFonts w:ascii="Trebuchet MS" w:hAnsi="Trebuchet MS" w:cs="Trebuchet MS"/>
          <w:b/>
          <w:bCs/>
          <w:i/>
          <w:iCs/>
          <w:sz w:val="22"/>
          <w:szCs w:val="22"/>
        </w:rPr>
        <w:t>Generic medications</w:t>
      </w:r>
    </w:p>
    <w:p w:rsidR="00AB7884" w:rsidRDefault="00AB7884">
      <w:pPr>
        <w:pStyle w:val="NormalWeb"/>
        <w:spacing w:before="0" w:beforeAutospacing="0" w:after="0" w:afterAutospacing="0"/>
        <w:rPr>
          <w:sz w:val="22"/>
          <w:szCs w:val="22"/>
        </w:rPr>
      </w:pPr>
      <w:r>
        <w:rPr>
          <w:sz w:val="22"/>
          <w:szCs w:val="22"/>
        </w:rPr>
        <w:t xml:space="preserve">Once a patent or trademark expires, generic versions of a drug can be produced and sold by the same or other pharmaceutical companies. Or, a country may have put in place public health policies which allow generic versions of a drug to be produced even if a patent has not yet expired. </w:t>
      </w:r>
    </w:p>
    <w:p w:rsidR="00AB7884" w:rsidRDefault="00AB7884">
      <w:pPr>
        <w:pStyle w:val="NormalWeb"/>
        <w:spacing w:before="0" w:beforeAutospacing="0" w:after="0" w:afterAutospacing="0"/>
        <w:rPr>
          <w:sz w:val="22"/>
          <w:szCs w:val="22"/>
        </w:rPr>
      </w:pPr>
    </w:p>
    <w:p w:rsidR="00AB7884" w:rsidRDefault="00AB7884">
      <w:pPr>
        <w:pStyle w:val="NormalWeb"/>
        <w:spacing w:before="0" w:beforeAutospacing="0" w:after="0" w:afterAutospacing="0"/>
        <w:rPr>
          <w:sz w:val="22"/>
          <w:szCs w:val="22"/>
        </w:rPr>
      </w:pPr>
      <w:r>
        <w:rPr>
          <w:sz w:val="22"/>
          <w:szCs w:val="22"/>
        </w:rPr>
        <w:t xml:space="preserve">Generic medications are therapeutically equivalent to the original product, but are usually much cheaper due to the lower R&amp;D costs incurred. In the past, large pharmaceutical companies were less interested in producing generics as they were seen as less profitable; however most are now showing more interest and have branches which produce their generics. Often the pharmaceutical company that owns the branded drug will introduce a generic version before the patent expires on the branded drug, so as to get a head-start in the generic market. </w:t>
      </w:r>
    </w:p>
    <w:p w:rsidR="00AB7884" w:rsidRDefault="00AB7884">
      <w:pPr>
        <w:pStyle w:val="CommentText"/>
        <w:rPr>
          <w:rFonts w:ascii="Times New Roman" w:hAnsi="Times New Roman" w:cs="Times New Roman"/>
          <w:sz w:val="22"/>
          <w:szCs w:val="22"/>
        </w:rPr>
      </w:pPr>
    </w:p>
    <w:p w:rsidR="00AB7884" w:rsidRDefault="00AB7884">
      <w:pPr>
        <w:pStyle w:val="CommentText"/>
        <w:rPr>
          <w:rFonts w:ascii="Times New Roman" w:hAnsi="Times New Roman" w:cs="Times New Roman"/>
          <w:sz w:val="22"/>
          <w:szCs w:val="22"/>
        </w:rPr>
      </w:pPr>
      <w:r>
        <w:rPr>
          <w:sz w:val="22"/>
          <w:szCs w:val="22"/>
        </w:rPr>
        <w:t xml:space="preserve">Generic producers are just as interested in making and maximising profits as Big Pharma. Generic drugs make up a high proportion of total pharmaceutical sales </w:t>
      </w:r>
      <w:r>
        <w:rPr>
          <w:sz w:val="22"/>
          <w:szCs w:val="22"/>
        </w:rPr>
        <w:lastRenderedPageBreak/>
        <w:t>globally and also create pricing pressure and increased competition for branded drugs. The sector is highly concentrated with the top 10 generic companies accounting for more than 70% of sales in 2007. Between 1999 and 2008 global generic pharmaceutical sales e</w:t>
      </w:r>
      <w:r w:rsidRPr="00556CD8">
        <w:rPr>
          <w:sz w:val="22"/>
          <w:szCs w:val="22"/>
        </w:rPr>
        <w:t>xpanded at an annual growth rate of 10%. The strongest generic segments in 2009 were the emerging markets such as China (25%) and Latin America (9%) (</w:t>
      </w:r>
      <w:hyperlink r:id="rId82" w:history="1">
        <w:r w:rsidRPr="00556CD8">
          <w:rPr>
            <w:rStyle w:val="Hyperlink"/>
            <w:rFonts w:ascii="Arial" w:hAnsi="Arial" w:cs="Arial"/>
            <w:sz w:val="22"/>
            <w:szCs w:val="22"/>
            <w:u w:val="none"/>
          </w:rPr>
          <w:t>http://profitshastra.blogspot.com/2010/01/pharmaceutical-industry.html</w:t>
        </w:r>
      </w:hyperlink>
      <w:r>
        <w:t>).</w:t>
      </w:r>
      <w:r>
        <w:rPr>
          <w:sz w:val="22"/>
          <w:szCs w:val="22"/>
        </w:rPr>
        <w:t xml:space="preserve"> </w:t>
      </w:r>
    </w:p>
    <w:p w:rsidR="00AB7884" w:rsidRDefault="00AB7884">
      <w:pPr>
        <w:pStyle w:val="NormalWeb"/>
        <w:spacing w:before="240" w:beforeAutospacing="0" w:after="120" w:afterAutospacing="0"/>
        <w:rPr>
          <w:rFonts w:ascii="Trebuchet MS" w:hAnsi="Trebuchet MS" w:cs="Trebuchet MS"/>
          <w:b/>
          <w:bCs/>
          <w:i/>
          <w:iCs/>
          <w:sz w:val="22"/>
          <w:szCs w:val="22"/>
        </w:rPr>
      </w:pPr>
      <w:r>
        <w:rPr>
          <w:rFonts w:ascii="Trebuchet MS" w:hAnsi="Trebuchet MS" w:cs="Trebuchet MS"/>
          <w:b/>
          <w:bCs/>
          <w:i/>
          <w:iCs/>
          <w:sz w:val="22"/>
          <w:szCs w:val="22"/>
        </w:rPr>
        <w:t>Counterfeit Medicines</w:t>
      </w:r>
    </w:p>
    <w:p w:rsidR="00AB7884" w:rsidRDefault="00AB7884">
      <w:pPr>
        <w:pStyle w:val="NormalWeb"/>
        <w:spacing w:before="240" w:beforeAutospacing="0" w:after="120" w:afterAutospacing="0"/>
        <w:rPr>
          <w:rFonts w:ascii="Trebuchet MS" w:hAnsi="Trebuchet MS" w:cs="Trebuchet MS"/>
          <w:b/>
          <w:bCs/>
          <w:sz w:val="22"/>
          <w:szCs w:val="22"/>
        </w:rPr>
      </w:pPr>
      <w:r>
        <w:rPr>
          <w:rFonts w:ascii="Trebuchet MS" w:hAnsi="Trebuchet MS" w:cs="Trebuchet MS"/>
          <w:b/>
          <w:bCs/>
          <w:sz w:val="22"/>
          <w:szCs w:val="22"/>
        </w:rPr>
        <w:t>Table 2.3.3 Definitions of counterfeit medicines</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3"/>
        <w:gridCol w:w="2552"/>
        <w:gridCol w:w="3505"/>
      </w:tblGrid>
      <w:tr w:rsidR="00AB7884" w:rsidRPr="0034040D">
        <w:tc>
          <w:tcPr>
            <w:tcW w:w="3123" w:type="dxa"/>
          </w:tcPr>
          <w:p w:rsidR="00AB7884" w:rsidRPr="0034040D" w:rsidRDefault="00AB7884">
            <w:pPr>
              <w:pStyle w:val="NormalWeb"/>
              <w:spacing w:before="120" w:beforeAutospacing="0" w:after="120" w:afterAutospacing="0"/>
              <w:rPr>
                <w:rFonts w:eastAsiaTheme="minorEastAsia"/>
                <w:b/>
                <w:bCs/>
                <w:sz w:val="20"/>
                <w:szCs w:val="20"/>
              </w:rPr>
            </w:pPr>
            <w:r w:rsidRPr="0034040D">
              <w:rPr>
                <w:rFonts w:eastAsiaTheme="minorEastAsia"/>
                <w:b/>
                <w:bCs/>
                <w:sz w:val="20"/>
                <w:szCs w:val="20"/>
              </w:rPr>
              <w:t>World Trade Organisation (WTO) definition</w:t>
            </w:r>
          </w:p>
        </w:tc>
        <w:tc>
          <w:tcPr>
            <w:tcW w:w="2552" w:type="dxa"/>
          </w:tcPr>
          <w:p w:rsidR="00AB7884" w:rsidRPr="0034040D" w:rsidRDefault="00AB7884">
            <w:pPr>
              <w:pStyle w:val="NormalWeb"/>
              <w:spacing w:before="120" w:beforeAutospacing="0" w:after="120" w:afterAutospacing="0"/>
              <w:rPr>
                <w:rFonts w:eastAsiaTheme="minorEastAsia"/>
                <w:b/>
                <w:bCs/>
                <w:sz w:val="20"/>
                <w:szCs w:val="20"/>
              </w:rPr>
            </w:pPr>
            <w:r w:rsidRPr="0034040D">
              <w:rPr>
                <w:rFonts w:eastAsiaTheme="minorEastAsia"/>
                <w:b/>
                <w:bCs/>
                <w:sz w:val="20"/>
                <w:szCs w:val="20"/>
              </w:rPr>
              <w:t>World Health Organisation (WHO) definition</w:t>
            </w:r>
          </w:p>
        </w:tc>
        <w:tc>
          <w:tcPr>
            <w:tcW w:w="3505" w:type="dxa"/>
          </w:tcPr>
          <w:p w:rsidR="00AB7884" w:rsidRPr="0034040D" w:rsidRDefault="00AB7884">
            <w:pPr>
              <w:autoSpaceDE w:val="0"/>
              <w:autoSpaceDN w:val="0"/>
              <w:adjustRightInd w:val="0"/>
              <w:spacing w:before="120" w:after="120"/>
              <w:rPr>
                <w:rFonts w:eastAsiaTheme="minorEastAsia"/>
                <w:b/>
                <w:bCs/>
              </w:rPr>
            </w:pPr>
            <w:r w:rsidRPr="0034040D">
              <w:rPr>
                <w:rFonts w:eastAsiaTheme="minorEastAsia"/>
                <w:b/>
                <w:bCs/>
                <w:lang w:val="en-ZA" w:eastAsia="en-ZA"/>
              </w:rPr>
              <w:t>International Medical Products Anti-Counterfeiting Taskforce (IMPACT)</w:t>
            </w:r>
            <w:r w:rsidRPr="0034040D">
              <w:rPr>
                <w:rFonts w:eastAsiaTheme="minorEastAsia"/>
                <w:b/>
                <w:bCs/>
              </w:rPr>
              <w:t xml:space="preserve"> </w:t>
            </w:r>
            <w:r w:rsidRPr="0034040D">
              <w:rPr>
                <w:rFonts w:eastAsiaTheme="minorEastAsia"/>
                <w:b/>
                <w:bCs/>
                <w:lang w:val="en-ZA" w:eastAsia="en-ZA"/>
              </w:rPr>
              <w:t>definition</w:t>
            </w:r>
          </w:p>
        </w:tc>
      </w:tr>
      <w:tr w:rsidR="00AB7884" w:rsidRPr="0034040D">
        <w:tc>
          <w:tcPr>
            <w:tcW w:w="3123" w:type="dxa"/>
          </w:tcPr>
          <w:p w:rsidR="00AB7884" w:rsidRPr="0034040D" w:rsidRDefault="00AB7884">
            <w:pPr>
              <w:pStyle w:val="NormalWeb"/>
              <w:spacing w:before="120" w:beforeAutospacing="0" w:after="120" w:afterAutospacing="0"/>
              <w:rPr>
                <w:rFonts w:eastAsiaTheme="minorEastAsia"/>
                <w:sz w:val="20"/>
                <w:szCs w:val="20"/>
              </w:rPr>
            </w:pPr>
            <w:r w:rsidRPr="0034040D">
              <w:rPr>
                <w:rFonts w:eastAsiaTheme="minorEastAsia"/>
                <w:sz w:val="20"/>
                <w:szCs w:val="20"/>
              </w:rPr>
              <w:t>The term ‘counterfeit’ means the:</w:t>
            </w:r>
          </w:p>
          <w:p w:rsidR="00AB7884" w:rsidRPr="0034040D" w:rsidRDefault="00AB7884">
            <w:pPr>
              <w:pStyle w:val="NormalWeb"/>
              <w:spacing w:before="120" w:beforeAutospacing="0" w:after="120" w:afterAutospacing="0"/>
              <w:rPr>
                <w:rFonts w:eastAsiaTheme="minorEastAsia"/>
                <w:sz w:val="20"/>
                <w:szCs w:val="20"/>
              </w:rPr>
            </w:pPr>
            <w:r w:rsidRPr="0034040D">
              <w:rPr>
                <w:rFonts w:eastAsiaTheme="minorEastAsia"/>
                <w:i/>
                <w:iCs/>
                <w:sz w:val="20"/>
                <w:szCs w:val="20"/>
              </w:rPr>
              <w:t>“unauthorised representation of a registered trademark carried on goods identical or similar to goods for which the trademark is registered, with a view to deceiving the purchaser into believing that he/she is buying the original goods”</w:t>
            </w:r>
            <w:r w:rsidRPr="0034040D">
              <w:rPr>
                <w:rFonts w:eastAsiaTheme="minorEastAsia"/>
                <w:sz w:val="20"/>
                <w:szCs w:val="20"/>
              </w:rPr>
              <w:t xml:space="preserve"> </w:t>
            </w:r>
          </w:p>
          <w:p w:rsidR="00AB7884" w:rsidRPr="0034040D" w:rsidRDefault="00AB7884">
            <w:pPr>
              <w:pStyle w:val="NormalWeb"/>
              <w:spacing w:before="120" w:beforeAutospacing="0" w:after="120" w:afterAutospacing="0"/>
              <w:rPr>
                <w:rFonts w:eastAsiaTheme="minorEastAsia"/>
                <w:sz w:val="20"/>
                <w:szCs w:val="20"/>
              </w:rPr>
            </w:pPr>
            <w:r w:rsidRPr="0034040D">
              <w:rPr>
                <w:rFonts w:eastAsiaTheme="minorEastAsia"/>
                <w:sz w:val="20"/>
                <w:szCs w:val="20"/>
              </w:rPr>
              <w:t>In TRIPs Agreements, counterfeit refers to a specific and limited class of trademark infringement; or to copying a registered trademark without the permission or authorisation of the trademark owner. Thus, counterfeit medicines:</w:t>
            </w:r>
          </w:p>
          <w:p w:rsidR="00AB7884" w:rsidRPr="0034040D" w:rsidRDefault="00AB7884" w:rsidP="007F44B4">
            <w:pPr>
              <w:pStyle w:val="NormalWeb"/>
              <w:numPr>
                <w:ilvl w:val="0"/>
                <w:numId w:val="48"/>
              </w:numPr>
              <w:spacing w:before="120" w:beforeAutospacing="0" w:after="120" w:afterAutospacing="0"/>
              <w:rPr>
                <w:rFonts w:eastAsiaTheme="minorEastAsia"/>
                <w:sz w:val="20"/>
                <w:szCs w:val="20"/>
              </w:rPr>
            </w:pPr>
            <w:r w:rsidRPr="0034040D">
              <w:rPr>
                <w:rFonts w:eastAsiaTheme="minorEastAsia"/>
                <w:sz w:val="20"/>
                <w:szCs w:val="20"/>
              </w:rPr>
              <w:t>do not refer to all trademark violations</w:t>
            </w:r>
          </w:p>
          <w:p w:rsidR="00AB7884" w:rsidRPr="0034040D" w:rsidRDefault="00AB7884" w:rsidP="007F44B4">
            <w:pPr>
              <w:pStyle w:val="NormalWeb"/>
              <w:numPr>
                <w:ilvl w:val="0"/>
                <w:numId w:val="48"/>
              </w:numPr>
              <w:spacing w:before="120" w:beforeAutospacing="0" w:after="120" w:afterAutospacing="0"/>
              <w:rPr>
                <w:rFonts w:eastAsiaTheme="minorEastAsia"/>
                <w:sz w:val="20"/>
                <w:szCs w:val="20"/>
              </w:rPr>
            </w:pPr>
            <w:r w:rsidRPr="0034040D">
              <w:rPr>
                <w:rFonts w:eastAsiaTheme="minorEastAsia"/>
                <w:sz w:val="20"/>
                <w:szCs w:val="20"/>
              </w:rPr>
              <w:t>should not be confused with substandard medicines</w:t>
            </w:r>
          </w:p>
          <w:p w:rsidR="00AB7884" w:rsidRPr="0034040D" w:rsidRDefault="00AB7884" w:rsidP="007F44B4">
            <w:pPr>
              <w:pStyle w:val="NormalWeb"/>
              <w:numPr>
                <w:ilvl w:val="0"/>
                <w:numId w:val="48"/>
              </w:numPr>
              <w:spacing w:before="120" w:beforeAutospacing="0" w:after="120" w:afterAutospacing="0"/>
              <w:rPr>
                <w:rFonts w:eastAsiaTheme="minorEastAsia"/>
                <w:sz w:val="20"/>
                <w:szCs w:val="20"/>
              </w:rPr>
            </w:pPr>
            <w:r w:rsidRPr="0034040D">
              <w:rPr>
                <w:rFonts w:eastAsiaTheme="minorEastAsia"/>
                <w:sz w:val="20"/>
                <w:szCs w:val="20"/>
              </w:rPr>
              <w:t>should not be included with ordinary patent infringement</w:t>
            </w:r>
          </w:p>
          <w:p w:rsidR="00AB7884" w:rsidRPr="0034040D" w:rsidRDefault="00AB7884" w:rsidP="007F44B4">
            <w:pPr>
              <w:pStyle w:val="NormalWeb"/>
              <w:numPr>
                <w:ilvl w:val="0"/>
                <w:numId w:val="48"/>
              </w:numPr>
              <w:spacing w:before="120" w:beforeAutospacing="0" w:after="120" w:afterAutospacing="0"/>
              <w:rPr>
                <w:rFonts w:eastAsiaTheme="minorEastAsia"/>
                <w:sz w:val="20"/>
                <w:szCs w:val="20"/>
              </w:rPr>
            </w:pPr>
            <w:r w:rsidRPr="0034040D">
              <w:rPr>
                <w:rFonts w:eastAsiaTheme="minorEastAsia"/>
                <w:sz w:val="20"/>
                <w:szCs w:val="20"/>
              </w:rPr>
              <w:t>should not be confused with generic drugs.</w:t>
            </w:r>
          </w:p>
          <w:p w:rsidR="00AB7884" w:rsidRPr="0034040D" w:rsidRDefault="00AB7884">
            <w:pPr>
              <w:pStyle w:val="NormalWeb"/>
              <w:spacing w:before="120" w:beforeAutospacing="0" w:after="120" w:afterAutospacing="0"/>
              <w:rPr>
                <w:rFonts w:eastAsiaTheme="minorEastAsia"/>
                <w:sz w:val="20"/>
                <w:szCs w:val="20"/>
              </w:rPr>
            </w:pPr>
          </w:p>
        </w:tc>
        <w:tc>
          <w:tcPr>
            <w:tcW w:w="2552" w:type="dxa"/>
          </w:tcPr>
          <w:p w:rsidR="00AB7884" w:rsidRPr="0034040D" w:rsidRDefault="00AB7884">
            <w:pPr>
              <w:autoSpaceDE w:val="0"/>
              <w:autoSpaceDN w:val="0"/>
              <w:adjustRightInd w:val="0"/>
              <w:spacing w:before="120" w:after="120"/>
              <w:rPr>
                <w:rFonts w:eastAsiaTheme="minorEastAsia"/>
                <w:lang w:val="en-ZA" w:eastAsia="en-ZA"/>
              </w:rPr>
            </w:pPr>
            <w:r w:rsidRPr="0034040D">
              <w:rPr>
                <w:rFonts w:eastAsiaTheme="minorEastAsia"/>
                <w:i/>
                <w:iCs/>
                <w:lang w:val="en-ZA" w:eastAsia="en-ZA"/>
              </w:rPr>
              <w:t>“A counterfeit medicine is one which is deliberately and fraudulently mislabelled with respect to identity and/or source. Counterfeiting can apply to both branded and generic products and counterfeit products may include products with the correct ingredients or with the wrong ingredients, without active ingredients, with insufficient active ingredients or with fake packaging</w:t>
            </w:r>
            <w:r w:rsidRPr="0034040D">
              <w:rPr>
                <w:rFonts w:eastAsiaTheme="minorEastAsia"/>
                <w:lang w:val="en-ZA" w:eastAsia="en-ZA"/>
              </w:rPr>
              <w:t>” (WHO, 2008).</w:t>
            </w:r>
          </w:p>
          <w:p w:rsidR="00AB7884" w:rsidRPr="0034040D" w:rsidRDefault="00AB7884">
            <w:pPr>
              <w:pStyle w:val="NormalWeb"/>
              <w:spacing w:before="120" w:beforeAutospacing="0" w:after="120" w:afterAutospacing="0"/>
              <w:rPr>
                <w:rFonts w:eastAsiaTheme="minorEastAsia"/>
                <w:sz w:val="20"/>
                <w:szCs w:val="20"/>
              </w:rPr>
            </w:pPr>
          </w:p>
        </w:tc>
        <w:tc>
          <w:tcPr>
            <w:tcW w:w="3505" w:type="dxa"/>
          </w:tcPr>
          <w:p w:rsidR="00AB7884" w:rsidRPr="0034040D" w:rsidRDefault="00AB7884">
            <w:pPr>
              <w:autoSpaceDE w:val="0"/>
              <w:autoSpaceDN w:val="0"/>
              <w:adjustRightInd w:val="0"/>
              <w:spacing w:before="120" w:after="120"/>
              <w:rPr>
                <w:rStyle w:val="A5"/>
                <w:rFonts w:ascii="Times New Roman" w:eastAsiaTheme="minorEastAsia" w:hAnsi="Times New Roman" w:cs="Times New Roman"/>
                <w:lang w:val="en-ZA" w:eastAsia="en-ZA"/>
              </w:rPr>
            </w:pPr>
            <w:r w:rsidRPr="0034040D">
              <w:rPr>
                <w:rFonts w:eastAsiaTheme="minorEastAsia"/>
                <w:i/>
                <w:iCs/>
                <w:lang w:val="en-ZA" w:eastAsia="en-ZA"/>
              </w:rPr>
              <w:t>“A medical product is counterfeit when there is a false representation (1) in relation to its identity (2) and/or source (3).This applies to the product, its container or other packaging or labelling information. Counterfeiting can apply to both branded and generic products. Counterfeits may include products with correct ingredients/components, (4) with wrong ingredients/components, without active ingredients, with incorrect amounts of active ingredients, or with fake packaging.</w:t>
            </w:r>
            <w:r w:rsidRPr="0034040D">
              <w:rPr>
                <w:rStyle w:val="A5"/>
                <w:rFonts w:eastAsiaTheme="minorEastAsia"/>
                <w:i/>
                <w:iCs/>
                <w:sz w:val="20"/>
                <w:szCs w:val="20"/>
              </w:rPr>
              <w:t xml:space="preserve"> </w:t>
            </w:r>
          </w:p>
          <w:p w:rsidR="00AB7884" w:rsidRPr="0034040D" w:rsidRDefault="00AB7884">
            <w:pPr>
              <w:pStyle w:val="Pa4"/>
              <w:spacing w:before="120" w:after="120"/>
              <w:rPr>
                <w:rFonts w:ascii="Arial" w:eastAsiaTheme="minorEastAsia" w:hAnsi="Arial" w:cs="Arial"/>
                <w:i/>
                <w:iCs/>
                <w:sz w:val="20"/>
                <w:szCs w:val="20"/>
              </w:rPr>
            </w:pPr>
            <w:r w:rsidRPr="0034040D">
              <w:rPr>
                <w:rFonts w:ascii="Arial" w:eastAsiaTheme="minorEastAsia" w:hAnsi="Arial" w:cs="Arial"/>
                <w:i/>
                <w:iCs/>
                <w:sz w:val="20"/>
                <w:szCs w:val="20"/>
              </w:rPr>
              <w:t xml:space="preserve">Violations or disputes concerning patents must not be confused with counterfeiting of medical products. </w:t>
            </w:r>
          </w:p>
          <w:p w:rsidR="00AB7884" w:rsidRPr="0034040D" w:rsidRDefault="00AB7884">
            <w:pPr>
              <w:pStyle w:val="Pa4"/>
              <w:spacing w:before="120" w:after="120"/>
              <w:rPr>
                <w:rFonts w:ascii="Arial" w:eastAsiaTheme="minorEastAsia" w:hAnsi="Arial" w:cs="Arial"/>
                <w:i/>
                <w:iCs/>
                <w:sz w:val="20"/>
                <w:szCs w:val="20"/>
              </w:rPr>
            </w:pPr>
            <w:r w:rsidRPr="0034040D">
              <w:rPr>
                <w:rFonts w:ascii="Arial" w:eastAsiaTheme="minorEastAsia" w:hAnsi="Arial" w:cs="Arial"/>
                <w:i/>
                <w:iCs/>
                <w:sz w:val="20"/>
                <w:szCs w:val="20"/>
              </w:rPr>
              <w:t xml:space="preserve">Medical products (whether generic or branded) that are not authorized for marketing in a given country but authorized elsewhere are not considered counterfeit. </w:t>
            </w:r>
          </w:p>
          <w:p w:rsidR="00AB7884" w:rsidRPr="0034040D" w:rsidRDefault="00AB7884">
            <w:pPr>
              <w:pStyle w:val="Pa4"/>
              <w:spacing w:before="120" w:after="120"/>
              <w:rPr>
                <w:rFonts w:ascii="Arial" w:eastAsiaTheme="minorEastAsia" w:hAnsi="Arial" w:cs="Arial"/>
                <w:i/>
                <w:iCs/>
                <w:sz w:val="20"/>
                <w:szCs w:val="20"/>
              </w:rPr>
            </w:pPr>
            <w:r w:rsidRPr="0034040D">
              <w:rPr>
                <w:rFonts w:ascii="Arial" w:eastAsiaTheme="minorEastAsia" w:hAnsi="Arial" w:cs="Arial"/>
                <w:i/>
                <w:iCs/>
                <w:sz w:val="20"/>
                <w:szCs w:val="20"/>
              </w:rPr>
              <w:t>Substandard batches or quality defects or non-compliance with Good Manufacturing Practices/Good Distribution Practices in legitimate and medical products should not be confused with counterfeiting.</w:t>
            </w:r>
          </w:p>
          <w:p w:rsidR="00AB7884" w:rsidRPr="0034040D" w:rsidRDefault="00AB7884">
            <w:pPr>
              <w:pStyle w:val="Pa4"/>
              <w:spacing w:before="120" w:after="120"/>
              <w:rPr>
                <w:rFonts w:ascii="Arial" w:eastAsiaTheme="minorEastAsia" w:hAnsi="Arial" w:cs="Arial"/>
                <w:i/>
                <w:iCs/>
                <w:sz w:val="20"/>
                <w:szCs w:val="20"/>
              </w:rPr>
            </w:pPr>
            <w:r w:rsidRPr="0034040D">
              <w:rPr>
                <w:rFonts w:ascii="Arial" w:eastAsiaTheme="minorEastAsia" w:hAnsi="Arial" w:cs="Arial"/>
                <w:i/>
                <w:iCs/>
                <w:sz w:val="20"/>
                <w:szCs w:val="20"/>
              </w:rPr>
              <w:t>(Footnotes in original).</w:t>
            </w:r>
          </w:p>
          <w:p w:rsidR="00AB7884" w:rsidRPr="0034040D" w:rsidRDefault="00AB7884" w:rsidP="007F44B4">
            <w:pPr>
              <w:numPr>
                <w:ilvl w:val="0"/>
                <w:numId w:val="50"/>
              </w:numPr>
              <w:autoSpaceDE w:val="0"/>
              <w:autoSpaceDN w:val="0"/>
              <w:adjustRightInd w:val="0"/>
              <w:spacing w:before="120" w:after="120"/>
              <w:rPr>
                <w:rFonts w:eastAsiaTheme="minorEastAsia"/>
                <w:i/>
                <w:iCs/>
                <w:lang w:val="en-ZA" w:eastAsia="en-ZA"/>
              </w:rPr>
            </w:pPr>
            <w:r w:rsidRPr="0034040D">
              <w:rPr>
                <w:rFonts w:eastAsiaTheme="minorEastAsia"/>
                <w:i/>
                <w:iCs/>
                <w:lang w:val="en-ZA" w:eastAsia="en-ZA"/>
              </w:rPr>
              <w:t>Counterfeiting is done fraudulently and deliberately. The criminal intent and/or careless behaviour shall be considered during the legal procedures for the purposes of sanctions imposed.</w:t>
            </w:r>
          </w:p>
          <w:p w:rsidR="00AB7884" w:rsidRPr="0034040D" w:rsidRDefault="00AB7884" w:rsidP="007F44B4">
            <w:pPr>
              <w:numPr>
                <w:ilvl w:val="0"/>
                <w:numId w:val="50"/>
              </w:numPr>
              <w:autoSpaceDE w:val="0"/>
              <w:autoSpaceDN w:val="0"/>
              <w:adjustRightInd w:val="0"/>
              <w:spacing w:before="120" w:after="120"/>
              <w:rPr>
                <w:rFonts w:eastAsiaTheme="minorEastAsia"/>
                <w:i/>
                <w:iCs/>
                <w:lang w:val="en-ZA" w:eastAsia="en-ZA"/>
              </w:rPr>
            </w:pPr>
            <w:r w:rsidRPr="0034040D">
              <w:rPr>
                <w:rFonts w:eastAsiaTheme="minorEastAsia"/>
                <w:i/>
                <w:iCs/>
                <w:lang w:val="en-ZA" w:eastAsia="en-ZA"/>
              </w:rPr>
              <w:t xml:space="preserve"> This includes any misleading statement with respect to name, </w:t>
            </w:r>
            <w:r w:rsidRPr="0034040D">
              <w:rPr>
                <w:rFonts w:eastAsiaTheme="minorEastAsia"/>
                <w:i/>
                <w:iCs/>
                <w:lang w:val="en-ZA" w:eastAsia="en-ZA"/>
              </w:rPr>
              <w:lastRenderedPageBreak/>
              <w:t>composition, strength or other elements.</w:t>
            </w:r>
          </w:p>
          <w:p w:rsidR="00AB7884" w:rsidRPr="0034040D" w:rsidRDefault="00AB7884" w:rsidP="007F44B4">
            <w:pPr>
              <w:numPr>
                <w:ilvl w:val="0"/>
                <w:numId w:val="50"/>
              </w:numPr>
              <w:autoSpaceDE w:val="0"/>
              <w:autoSpaceDN w:val="0"/>
              <w:adjustRightInd w:val="0"/>
              <w:spacing w:before="120" w:after="120"/>
              <w:rPr>
                <w:rFonts w:eastAsiaTheme="minorEastAsia"/>
                <w:i/>
                <w:iCs/>
                <w:lang w:val="en-ZA" w:eastAsia="en-ZA"/>
              </w:rPr>
            </w:pPr>
            <w:r w:rsidRPr="0034040D">
              <w:rPr>
                <w:rFonts w:eastAsiaTheme="minorEastAsia"/>
                <w:i/>
                <w:iCs/>
                <w:lang w:val="en-ZA" w:eastAsia="en-ZA"/>
              </w:rPr>
              <w:t xml:space="preserve"> This includes any misleading statement with respect to manufacturer, country of manufacturing, country of origin, marketing authorization holder or steps of distribution.</w:t>
            </w:r>
          </w:p>
          <w:p w:rsidR="00AB7884" w:rsidRPr="0034040D" w:rsidRDefault="00AB7884" w:rsidP="007F44B4">
            <w:pPr>
              <w:numPr>
                <w:ilvl w:val="0"/>
                <w:numId w:val="50"/>
              </w:numPr>
              <w:autoSpaceDE w:val="0"/>
              <w:autoSpaceDN w:val="0"/>
              <w:adjustRightInd w:val="0"/>
              <w:spacing w:before="120" w:after="120"/>
              <w:rPr>
                <w:rFonts w:eastAsiaTheme="minorEastAsia"/>
              </w:rPr>
            </w:pPr>
            <w:r w:rsidRPr="0034040D">
              <w:rPr>
                <w:rFonts w:eastAsiaTheme="minorEastAsia"/>
                <w:i/>
                <w:iCs/>
                <w:lang w:val="en-ZA" w:eastAsia="en-ZA"/>
              </w:rPr>
              <w:t xml:space="preserve"> This refers to all components of a medical product” (WHO, 2008).</w:t>
            </w:r>
          </w:p>
        </w:tc>
      </w:tr>
    </w:tbl>
    <w:p w:rsidR="00AB7884" w:rsidRDefault="00AB7884">
      <w:pPr>
        <w:autoSpaceDE w:val="0"/>
        <w:autoSpaceDN w:val="0"/>
        <w:adjustRightInd w:val="0"/>
        <w:rPr>
          <w:rFonts w:ascii="Trebuchet MS" w:hAnsi="Trebuchet MS" w:cs="Trebuchet MS"/>
          <w:i/>
          <w:iCs/>
          <w:sz w:val="22"/>
          <w:szCs w:val="22"/>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AB7884" w:rsidRPr="0034040D">
        <w:tc>
          <w:tcPr>
            <w:tcW w:w="9180" w:type="dxa"/>
          </w:tcPr>
          <w:p w:rsidR="00AB7884" w:rsidRPr="0034040D" w:rsidRDefault="00AB7884">
            <w:pPr>
              <w:autoSpaceDE w:val="0"/>
              <w:autoSpaceDN w:val="0"/>
              <w:adjustRightInd w:val="0"/>
              <w:spacing w:before="12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t xml:space="preserve">TASK 3 </w:t>
            </w:r>
            <w:r w:rsidRPr="0034040D">
              <w:rPr>
                <w:rFonts w:eastAsiaTheme="minorEastAsia"/>
                <w:b/>
                <w:bCs/>
                <w:sz w:val="22"/>
                <w:szCs w:val="22"/>
                <w:lang w:val="en-ZA"/>
              </w:rPr>
              <w:t>─</w:t>
            </w:r>
            <w:r w:rsidRPr="0034040D">
              <w:rPr>
                <w:rFonts w:ascii="Trebuchet MS" w:eastAsiaTheme="minorEastAsia" w:hAnsi="Trebuchet MS" w:cs="Trebuchet MS"/>
                <w:b/>
                <w:bCs/>
                <w:sz w:val="22"/>
                <w:szCs w:val="22"/>
                <w:lang w:val="en-ZA"/>
              </w:rPr>
              <w:t xml:space="preserve"> Analyse definitions of counterfeit medicines</w:t>
            </w:r>
          </w:p>
          <w:p w:rsidR="00AB7884" w:rsidRPr="0034040D" w:rsidRDefault="00AB7884">
            <w:pPr>
              <w:autoSpaceDE w:val="0"/>
              <w:autoSpaceDN w:val="0"/>
              <w:adjustRightInd w:val="0"/>
              <w:spacing w:before="24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t>READINGS</w:t>
            </w:r>
          </w:p>
          <w:p w:rsidR="00AB7884" w:rsidRPr="0034040D" w:rsidRDefault="00AB7884" w:rsidP="00BE1B9C">
            <w:pPr>
              <w:autoSpaceDE w:val="0"/>
              <w:autoSpaceDN w:val="0"/>
              <w:adjustRightInd w:val="0"/>
              <w:rPr>
                <w:rFonts w:ascii="Trebuchet MS" w:eastAsiaTheme="minorEastAsia" w:hAnsi="Trebuchet MS" w:cs="Trebuchet MS"/>
                <w:sz w:val="22"/>
                <w:szCs w:val="22"/>
              </w:rPr>
            </w:pPr>
            <w:r w:rsidRPr="0034040D">
              <w:rPr>
                <w:rFonts w:ascii="Trebuchet MS" w:eastAsiaTheme="minorEastAsia" w:hAnsi="Trebuchet MS" w:cs="Trebuchet MS"/>
                <w:sz w:val="22"/>
                <w:szCs w:val="22"/>
              </w:rPr>
              <w:t xml:space="preserve">People’s Health Movement, Medact, Health Action International, Medico’s International and Third World Network. (2012). World Health Organisation: Captive to conflicting interests. </w:t>
            </w:r>
            <w:r w:rsidRPr="0034040D">
              <w:rPr>
                <w:rFonts w:ascii="Trebuchet MS" w:eastAsiaTheme="minorEastAsia" w:hAnsi="Trebuchet MS" w:cs="Trebuchet MS"/>
                <w:i/>
                <w:iCs/>
                <w:sz w:val="22"/>
                <w:szCs w:val="22"/>
              </w:rPr>
              <w:t xml:space="preserve">Global Health Watch </w:t>
            </w:r>
            <w:r w:rsidRPr="00FD4A28">
              <w:rPr>
                <w:rFonts w:ascii="Trebuchet MS" w:eastAsiaTheme="minorEastAsia" w:hAnsi="Trebuchet MS" w:cs="Trebuchet MS"/>
                <w:b/>
                <w:i/>
                <w:iCs/>
                <w:sz w:val="28"/>
                <w:szCs w:val="28"/>
              </w:rPr>
              <w:t>3</w:t>
            </w:r>
            <w:r w:rsidRPr="0034040D">
              <w:rPr>
                <w:rFonts w:ascii="Trebuchet MS" w:eastAsiaTheme="minorEastAsia" w:hAnsi="Trebuchet MS" w:cs="Trebuchet MS"/>
                <w:i/>
                <w:iCs/>
                <w:sz w:val="22"/>
                <w:szCs w:val="22"/>
              </w:rPr>
              <w:t>: An Alternative World Health Rep</w:t>
            </w:r>
            <w:r w:rsidRPr="0034040D">
              <w:rPr>
                <w:rFonts w:ascii="Trebuchet MS" w:eastAsiaTheme="minorEastAsia" w:hAnsi="Trebuchet MS" w:cs="Trebuchet MS"/>
                <w:sz w:val="22"/>
                <w:szCs w:val="22"/>
              </w:rPr>
              <w:t>ort. Zed Books Ltd: London &amp; New York, 237</w:t>
            </w:r>
            <w:r w:rsidRPr="0034040D">
              <w:rPr>
                <w:rFonts w:ascii="Times New Roman" w:eastAsiaTheme="minorEastAsia" w:hAnsi="Times New Roman" w:cs="Times New Roman"/>
                <w:sz w:val="22"/>
                <w:szCs w:val="22"/>
              </w:rPr>
              <w:t>─</w:t>
            </w:r>
            <w:r w:rsidRPr="0034040D">
              <w:rPr>
                <w:rFonts w:ascii="Trebuchet MS" w:eastAsiaTheme="minorEastAsia" w:hAnsi="Trebuchet MS" w:cs="Trebuchet MS"/>
                <w:sz w:val="22"/>
                <w:szCs w:val="22"/>
              </w:rPr>
              <w:t>243.</w:t>
            </w:r>
          </w:p>
          <w:p w:rsidR="00AB7884" w:rsidRPr="0034040D" w:rsidRDefault="00AB7884" w:rsidP="00BE1B9C">
            <w:pPr>
              <w:autoSpaceDE w:val="0"/>
              <w:autoSpaceDN w:val="0"/>
              <w:adjustRightInd w:val="0"/>
              <w:spacing w:before="12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 xml:space="preserve">WHO. (2008). </w:t>
            </w:r>
            <w:r w:rsidRPr="0034040D">
              <w:rPr>
                <w:rFonts w:ascii="Trebuchet MS" w:eastAsiaTheme="minorEastAsia" w:hAnsi="Trebuchet MS" w:cs="Trebuchet MS"/>
                <w:i/>
                <w:iCs/>
                <w:sz w:val="22"/>
                <w:szCs w:val="22"/>
                <w:lang w:val="en-ZA"/>
              </w:rPr>
              <w:t>Defining “Counterfeit Medicines” from the Perspective of Public Health</w:t>
            </w:r>
            <w:r w:rsidRPr="0034040D">
              <w:rPr>
                <w:rFonts w:ascii="Trebuchet MS" w:eastAsiaTheme="minorEastAsia" w:hAnsi="Trebuchet MS" w:cs="Trebuchet MS"/>
                <w:sz w:val="22"/>
                <w:szCs w:val="22"/>
                <w:lang w:val="en-ZA"/>
              </w:rPr>
              <w:t>, WHO: Regional Office for South-East Asia: 14</w:t>
            </w:r>
            <w:r w:rsidRPr="0034040D">
              <w:rPr>
                <w:rFonts w:ascii="Times New Roman" w:eastAsiaTheme="minorEastAsia" w:hAnsi="Times New Roman" w:cs="Times New Roman"/>
                <w:sz w:val="22"/>
                <w:szCs w:val="22"/>
              </w:rPr>
              <w:t>─</w:t>
            </w:r>
            <w:r w:rsidRPr="0034040D">
              <w:rPr>
                <w:rFonts w:ascii="Trebuchet MS" w:eastAsiaTheme="minorEastAsia" w:hAnsi="Trebuchet MS" w:cs="Trebuchet MS"/>
                <w:sz w:val="22"/>
                <w:szCs w:val="22"/>
                <w:lang w:val="en-ZA"/>
              </w:rPr>
              <w:t xml:space="preserve">17. </w:t>
            </w:r>
          </w:p>
          <w:p w:rsidR="00AB7884" w:rsidRPr="0034040D" w:rsidRDefault="00AB7884">
            <w:pPr>
              <w:autoSpaceDE w:val="0"/>
              <w:autoSpaceDN w:val="0"/>
              <w:adjustRightInd w:val="0"/>
              <w:rPr>
                <w:rFonts w:ascii="Trebuchet MS" w:eastAsiaTheme="minorEastAsia" w:hAnsi="Trebuchet MS" w:cs="Trebuchet MS"/>
                <w:sz w:val="22"/>
                <w:szCs w:val="22"/>
                <w:lang w:val="en-ZA"/>
              </w:rPr>
            </w:pPr>
          </w:p>
          <w:p w:rsidR="00AB7884" w:rsidRPr="0034040D" w:rsidRDefault="00AB7884">
            <w:pPr>
              <w:autoSpaceDE w:val="0"/>
              <w:autoSpaceDN w:val="0"/>
              <w:adjustRightInd w:val="0"/>
              <w:spacing w:after="120"/>
              <w:rPr>
                <w:rFonts w:ascii="Trebuchet MS" w:eastAsiaTheme="minorEastAsia" w:hAnsi="Trebuchet MS" w:cs="Trebuchet MS"/>
                <w:sz w:val="22"/>
                <w:szCs w:val="22"/>
              </w:rPr>
            </w:pPr>
            <w:r w:rsidRPr="0034040D">
              <w:rPr>
                <w:rFonts w:ascii="Trebuchet MS" w:eastAsiaTheme="minorEastAsia" w:hAnsi="Trebuchet MS" w:cs="Trebuchet MS"/>
                <w:sz w:val="22"/>
                <w:szCs w:val="22"/>
              </w:rPr>
              <w:t xml:space="preserve">After reading the above texts, answer the questions. </w:t>
            </w:r>
          </w:p>
          <w:p w:rsidR="00AB7884" w:rsidRPr="0034040D" w:rsidRDefault="00AB7884" w:rsidP="007F44B4">
            <w:pPr>
              <w:numPr>
                <w:ilvl w:val="0"/>
                <w:numId w:val="49"/>
              </w:numPr>
              <w:autoSpaceDE w:val="0"/>
              <w:autoSpaceDN w:val="0"/>
              <w:adjustRightInd w:val="0"/>
              <w:ind w:left="357" w:hanging="357"/>
              <w:rPr>
                <w:rFonts w:ascii="Trebuchet MS" w:eastAsiaTheme="minorEastAsia" w:hAnsi="Trebuchet MS" w:cs="Trebuchet MS"/>
                <w:b/>
                <w:bCs/>
                <w:sz w:val="22"/>
                <w:szCs w:val="22"/>
                <w:lang w:val="en-ZA"/>
              </w:rPr>
            </w:pPr>
            <w:r w:rsidRPr="0034040D">
              <w:rPr>
                <w:rFonts w:ascii="Trebuchet MS" w:eastAsiaTheme="minorEastAsia" w:hAnsi="Trebuchet MS" w:cs="Trebuchet MS"/>
                <w:sz w:val="22"/>
                <w:szCs w:val="22"/>
              </w:rPr>
              <w:t xml:space="preserve">What do you understand by the term ‘counterfeit medicines’? </w:t>
            </w:r>
          </w:p>
          <w:p w:rsidR="00AB7884" w:rsidRPr="0034040D" w:rsidRDefault="00AB7884" w:rsidP="007F44B4">
            <w:pPr>
              <w:numPr>
                <w:ilvl w:val="0"/>
                <w:numId w:val="49"/>
              </w:numPr>
              <w:autoSpaceDE w:val="0"/>
              <w:autoSpaceDN w:val="0"/>
              <w:adjustRightInd w:val="0"/>
              <w:ind w:left="357" w:hanging="357"/>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How do the WTO, WHO and IMPACT definitions of counterfeit medicines differ? Why is this problematic?</w:t>
            </w:r>
          </w:p>
          <w:p w:rsidR="00AB7884" w:rsidRPr="0034040D" w:rsidRDefault="00AB7884" w:rsidP="007F44B4">
            <w:pPr>
              <w:numPr>
                <w:ilvl w:val="0"/>
                <w:numId w:val="49"/>
              </w:numPr>
              <w:autoSpaceDE w:val="0"/>
              <w:autoSpaceDN w:val="0"/>
              <w:adjustRightInd w:val="0"/>
              <w:spacing w:after="120"/>
              <w:rPr>
                <w:rFonts w:ascii="Trebuchet MS" w:eastAsiaTheme="minorEastAsia" w:hAnsi="Trebuchet MS" w:cs="Trebuchet MS"/>
                <w:b/>
                <w:bCs/>
                <w:sz w:val="22"/>
                <w:szCs w:val="22"/>
                <w:lang w:val="en-ZA"/>
              </w:rPr>
            </w:pPr>
            <w:r w:rsidRPr="0034040D">
              <w:rPr>
                <w:rFonts w:ascii="Trebuchet MS" w:eastAsiaTheme="minorEastAsia" w:hAnsi="Trebuchet MS" w:cs="Trebuchet MS"/>
                <w:sz w:val="22"/>
                <w:szCs w:val="22"/>
              </w:rPr>
              <w:t>What points would you want to see covered in the definition if you were</w:t>
            </w:r>
            <w:r w:rsidRPr="0034040D">
              <w:rPr>
                <w:rFonts w:ascii="Trebuchet MS" w:eastAsiaTheme="minorEastAsia" w:hAnsi="Trebuchet MS" w:cs="Trebuchet MS"/>
                <w:sz w:val="22"/>
                <w:szCs w:val="22"/>
              </w:rPr>
              <w:br/>
              <w:t xml:space="preserve">- the CEO of a Big Pharma’s that manufactures branded products?  </w:t>
            </w:r>
            <w:r w:rsidRPr="0034040D">
              <w:rPr>
                <w:rFonts w:ascii="Trebuchet MS" w:eastAsiaTheme="minorEastAsia" w:hAnsi="Trebuchet MS" w:cs="Trebuchet MS"/>
                <w:sz w:val="22"/>
                <w:szCs w:val="22"/>
              </w:rPr>
              <w:br/>
              <w:t>- the CEO of a generic pharmaceutical company that manufactures generic products?</w:t>
            </w:r>
            <w:r w:rsidRPr="0034040D">
              <w:rPr>
                <w:rFonts w:ascii="Trebuchet MS" w:eastAsiaTheme="minorEastAsia" w:hAnsi="Trebuchet MS" w:cs="Trebuchet MS"/>
                <w:sz w:val="22"/>
                <w:szCs w:val="22"/>
              </w:rPr>
              <w:br/>
              <w:t xml:space="preserve">- the Minister of Health of your country? </w:t>
            </w:r>
            <w:r w:rsidRPr="0034040D">
              <w:rPr>
                <w:rFonts w:ascii="Trebuchet MS" w:eastAsiaTheme="minorEastAsia" w:hAnsi="Trebuchet MS" w:cs="Trebuchet MS"/>
                <w:sz w:val="22"/>
                <w:szCs w:val="22"/>
              </w:rPr>
              <w:br/>
              <w:t xml:space="preserve">- a patient? </w:t>
            </w:r>
          </w:p>
          <w:p w:rsidR="00AB7884" w:rsidRPr="0034040D" w:rsidRDefault="00AB7884" w:rsidP="007F44B4">
            <w:pPr>
              <w:numPr>
                <w:ilvl w:val="0"/>
                <w:numId w:val="49"/>
              </w:numPr>
              <w:autoSpaceDE w:val="0"/>
              <w:autoSpaceDN w:val="0"/>
              <w:adjustRightInd w:val="0"/>
              <w:rPr>
                <w:rFonts w:ascii="Trebuchet MS" w:eastAsiaTheme="minorEastAsia" w:hAnsi="Trebuchet MS" w:cs="Trebuchet MS"/>
                <w:b/>
                <w:bCs/>
                <w:sz w:val="22"/>
                <w:szCs w:val="22"/>
                <w:lang w:val="en-ZA"/>
              </w:rPr>
            </w:pPr>
            <w:r w:rsidRPr="0034040D">
              <w:rPr>
                <w:rFonts w:ascii="Trebuchet MS" w:eastAsiaTheme="minorEastAsia" w:hAnsi="Trebuchet MS" w:cs="Trebuchet MS"/>
                <w:sz w:val="22"/>
                <w:szCs w:val="22"/>
              </w:rPr>
              <w:t>Why do you think there is such debate about the definition?</w:t>
            </w:r>
          </w:p>
          <w:p w:rsidR="00AB7884" w:rsidRPr="0034040D" w:rsidRDefault="00AB7884" w:rsidP="007F44B4">
            <w:pPr>
              <w:numPr>
                <w:ilvl w:val="0"/>
                <w:numId w:val="49"/>
              </w:numPr>
              <w:autoSpaceDE w:val="0"/>
              <w:autoSpaceDN w:val="0"/>
              <w:adjustRightInd w:val="0"/>
              <w:spacing w:after="120"/>
              <w:rPr>
                <w:rFonts w:ascii="Trebuchet MS" w:eastAsiaTheme="minorEastAsia" w:hAnsi="Trebuchet MS" w:cs="Trebuchet MS"/>
                <w:b/>
                <w:bCs/>
                <w:sz w:val="22"/>
                <w:szCs w:val="22"/>
                <w:lang w:val="en-ZA"/>
              </w:rPr>
            </w:pPr>
            <w:r w:rsidRPr="0034040D">
              <w:rPr>
                <w:rFonts w:ascii="Trebuchet MS" w:eastAsiaTheme="minorEastAsia" w:hAnsi="Trebuchet MS" w:cs="Trebuchet MS"/>
                <w:sz w:val="22"/>
                <w:szCs w:val="22"/>
              </w:rPr>
              <w:t xml:space="preserve">Why is there concern about WHO’s association with IMPACT? </w:t>
            </w:r>
          </w:p>
        </w:tc>
      </w:tr>
    </w:tbl>
    <w:p w:rsidR="00AB7884" w:rsidRDefault="00AB7884">
      <w:pPr>
        <w:autoSpaceDE w:val="0"/>
        <w:autoSpaceDN w:val="0"/>
        <w:adjustRightInd w:val="0"/>
        <w:spacing w:before="240" w:after="120"/>
        <w:rPr>
          <w:rFonts w:ascii="Trebuchet MS" w:hAnsi="Trebuchet MS" w:cs="Trebuchet MS"/>
          <w:b/>
          <w:bCs/>
          <w:sz w:val="22"/>
          <w:szCs w:val="22"/>
          <w:lang w:val="en-ZA" w:eastAsia="en-ZA"/>
        </w:rPr>
      </w:pPr>
      <w:r>
        <w:rPr>
          <w:rFonts w:ascii="Trebuchet MS" w:hAnsi="Trebuchet MS" w:cs="Trebuchet MS"/>
          <w:b/>
          <w:bCs/>
          <w:sz w:val="22"/>
          <w:szCs w:val="22"/>
          <w:lang w:val="en-ZA" w:eastAsia="en-ZA"/>
        </w:rPr>
        <w:t>FEEDBACK</w:t>
      </w:r>
    </w:p>
    <w:p w:rsidR="00AB7884" w:rsidRDefault="00AB7884">
      <w:pPr>
        <w:spacing w:before="120" w:after="120"/>
        <w:rPr>
          <w:sz w:val="22"/>
          <w:szCs w:val="22"/>
        </w:rPr>
      </w:pPr>
      <w:r>
        <w:rPr>
          <w:sz w:val="22"/>
          <w:szCs w:val="22"/>
        </w:rPr>
        <w:t xml:space="preserve">According to the WTO counterfeit medicines are a specific and limited class of </w:t>
      </w:r>
      <w:r>
        <w:rPr>
          <w:i/>
          <w:iCs/>
          <w:sz w:val="22"/>
          <w:szCs w:val="22"/>
        </w:rPr>
        <w:t>trademark</w:t>
      </w:r>
      <w:r>
        <w:rPr>
          <w:sz w:val="22"/>
          <w:szCs w:val="22"/>
        </w:rPr>
        <w:t xml:space="preserve"> infringement. The WHO and IMPACT definitions go beyond this – they do not specifically mention trademark or patent violations, but they do not exclude them either; and both include compromised quality, efficacy and safety problems (substandard products). </w:t>
      </w:r>
    </w:p>
    <w:p w:rsidR="00AB7884" w:rsidRDefault="00AB7884">
      <w:pPr>
        <w:spacing w:before="120" w:after="120"/>
        <w:rPr>
          <w:sz w:val="22"/>
          <w:szCs w:val="22"/>
          <w:lang w:val="en-ZA" w:eastAsia="en-ZA"/>
        </w:rPr>
      </w:pPr>
      <w:r>
        <w:rPr>
          <w:sz w:val="22"/>
          <w:szCs w:val="22"/>
        </w:rPr>
        <w:t>The different definitions are confusing and leave too much room for different interpretations. In addition, many NGOs are concerned that the definitions (especially that of IMPACT which is in some way associated with WHO), “</w:t>
      </w:r>
      <w:r>
        <w:rPr>
          <w:sz w:val="22"/>
          <w:szCs w:val="22"/>
          <w:lang w:val="en-ZA" w:eastAsia="en-ZA"/>
        </w:rPr>
        <w:t xml:space="preserve">will have adverse consequences for access to affordable medicines while also failing to address the very real problem of proliferation of pharmaceuticals with compromised quality, safety and efficacy” (Raja, 2010). It is argued that the definition put forward by IMPACT could very easily include legitimate generic products, as well as their producers, distributors and sellers. </w:t>
      </w:r>
    </w:p>
    <w:p w:rsidR="00AB7884" w:rsidRDefault="00AB7884">
      <w:pPr>
        <w:spacing w:before="120" w:after="120"/>
        <w:rPr>
          <w:sz w:val="22"/>
          <w:szCs w:val="22"/>
          <w:lang w:val="en-ZA" w:eastAsia="en-ZA"/>
        </w:rPr>
      </w:pPr>
      <w:r>
        <w:rPr>
          <w:sz w:val="22"/>
          <w:szCs w:val="22"/>
          <w:lang w:val="en-ZA" w:eastAsia="en-ZA"/>
        </w:rPr>
        <w:lastRenderedPageBreak/>
        <w:t>The wider definitions of counterfeit medicines has also opened the door for supporters of an extended Intellectual Property (IP) agenda to, “</w:t>
      </w:r>
      <w:r>
        <w:rPr>
          <w:sz w:val="22"/>
          <w:szCs w:val="22"/>
        </w:rPr>
        <w:t>to press for inappropriate IP enforcement standards in developing countries under the false premise that such standards will deliver quality-assured pharmaceuticals to the people”</w:t>
      </w:r>
      <w:r>
        <w:rPr>
          <w:sz w:val="22"/>
          <w:szCs w:val="22"/>
          <w:lang w:val="en-ZA" w:eastAsia="en-ZA"/>
        </w:rPr>
        <w:t xml:space="preserve"> (Raja, 2010).</w:t>
      </w:r>
    </w:p>
    <w:p w:rsidR="00AB7884" w:rsidRDefault="00AB7884">
      <w:pPr>
        <w:spacing w:before="120" w:after="120"/>
        <w:rPr>
          <w:sz w:val="22"/>
          <w:szCs w:val="22"/>
          <w:lang w:val="en-ZA" w:eastAsia="en-ZA"/>
        </w:rPr>
      </w:pPr>
      <w:r>
        <w:rPr>
          <w:sz w:val="22"/>
          <w:szCs w:val="22"/>
          <w:lang w:val="en-ZA" w:eastAsia="en-ZA"/>
        </w:rPr>
        <w:t>WHO’s association with IMPACT is also under suspicion and is said to be undermining of WHO’s credibility, because:</w:t>
      </w:r>
    </w:p>
    <w:p w:rsidR="00AB7884" w:rsidRDefault="00AB7884" w:rsidP="007F44B4">
      <w:pPr>
        <w:numPr>
          <w:ilvl w:val="0"/>
          <w:numId w:val="51"/>
        </w:numPr>
        <w:autoSpaceDE w:val="0"/>
        <w:autoSpaceDN w:val="0"/>
        <w:adjustRightInd w:val="0"/>
        <w:spacing w:before="120" w:after="120"/>
        <w:rPr>
          <w:rFonts w:ascii="Georgia" w:hAnsi="Georgia" w:cs="Georgia"/>
        </w:rPr>
      </w:pPr>
      <w:r>
        <w:rPr>
          <w:sz w:val="22"/>
          <w:szCs w:val="22"/>
          <w:lang w:val="en-ZA" w:eastAsia="en-ZA"/>
        </w:rPr>
        <w:t>IMPACT has a strong Big Pharma presence and agenda, and is being enabled to determine WHO policy, specifically concerning counterfeit medicines</w:t>
      </w:r>
    </w:p>
    <w:p w:rsidR="00AB7884" w:rsidRDefault="00AB7884" w:rsidP="007F44B4">
      <w:pPr>
        <w:numPr>
          <w:ilvl w:val="0"/>
          <w:numId w:val="51"/>
        </w:numPr>
        <w:autoSpaceDE w:val="0"/>
        <w:autoSpaceDN w:val="0"/>
        <w:adjustRightInd w:val="0"/>
        <w:spacing w:before="120" w:after="120"/>
        <w:rPr>
          <w:sz w:val="22"/>
          <w:szCs w:val="22"/>
        </w:rPr>
      </w:pPr>
      <w:r>
        <w:rPr>
          <w:sz w:val="22"/>
          <w:szCs w:val="22"/>
        </w:rPr>
        <w:t>there is a lack of transparency in the WHO/IMPACT association and dealings, which  are ‘shrouded in mystery’, for example, IMPACT will not reveal the names of people who participate in their meetings, and it is unclear whether IMPACT is hosted by WHO or is part of WHO.</w:t>
      </w:r>
    </w:p>
    <w:p w:rsidR="00AB7884" w:rsidRDefault="00AB7884" w:rsidP="007F44B4">
      <w:pPr>
        <w:numPr>
          <w:ilvl w:val="0"/>
          <w:numId w:val="51"/>
        </w:numPr>
        <w:autoSpaceDE w:val="0"/>
        <w:autoSpaceDN w:val="0"/>
        <w:adjustRightInd w:val="0"/>
        <w:spacing w:before="120" w:after="120"/>
        <w:rPr>
          <w:sz w:val="22"/>
          <w:szCs w:val="22"/>
        </w:rPr>
      </w:pPr>
      <w:r>
        <w:rPr>
          <w:sz w:val="22"/>
          <w:szCs w:val="22"/>
        </w:rPr>
        <w:t xml:space="preserve">WHO’s priority should be with the public health problem of eliminating substandard and unsafe medicines, rather than with the limited issues of counterfeits. </w:t>
      </w:r>
    </w:p>
    <w:p w:rsidR="00AB7884" w:rsidRDefault="00AB7884">
      <w:pPr>
        <w:pStyle w:val="NormalWeb"/>
        <w:rPr>
          <w:sz w:val="22"/>
          <w:szCs w:val="22"/>
        </w:rPr>
      </w:pPr>
      <w:r>
        <w:rPr>
          <w:sz w:val="22"/>
          <w:szCs w:val="22"/>
        </w:rPr>
        <w:t xml:space="preserve">The Anti-Counterfeiting Trade Agreement (ACTA) is multinational agreement, aimed at establishing international standards for Intellectual Property Right (IPR) enforcement, as a response to the increase in global trade of counterfeit goods, generic medicines and copyright infringement on the Internet. By January 2012, 31 countries were signatories to the agreement, which is open for signature until 1 May 2012 for the participants involved in the negotiations as well as members of the WTO. </w:t>
      </w:r>
    </w:p>
    <w:p w:rsidR="00AB7884" w:rsidRDefault="00AB7884">
      <w:pPr>
        <w:pStyle w:val="NormalWeb"/>
        <w:rPr>
          <w:sz w:val="22"/>
          <w:szCs w:val="22"/>
        </w:rPr>
      </w:pPr>
      <w:r>
        <w:rPr>
          <w:sz w:val="22"/>
          <w:szCs w:val="22"/>
        </w:rPr>
        <w:t>ACTA places generic drugs in the same category as counterfeited drugs and gives the patent holder the right to stop generic drugs being shipped to a developing country. Due to a huge public outcry against ACTA, many countries who had signed the agreement have set aside its ratification and implementation for the time being.</w:t>
      </w:r>
    </w:p>
    <w:p w:rsidR="00AB7884" w:rsidRDefault="00AB7884">
      <w:pPr>
        <w:pStyle w:val="ListParagraph"/>
        <w:spacing w:before="240" w:after="120"/>
        <w:ind w:left="0"/>
        <w:rPr>
          <w:rFonts w:ascii="Trebuchet MS" w:hAnsi="Trebuchet MS" w:cs="Trebuchet MS"/>
          <w:b/>
          <w:bCs/>
          <w:i/>
          <w:iCs/>
          <w:sz w:val="22"/>
          <w:szCs w:val="22"/>
          <w:lang w:eastAsia="en-ZA"/>
        </w:rPr>
      </w:pPr>
      <w:r>
        <w:rPr>
          <w:rFonts w:ascii="Trebuchet MS" w:hAnsi="Trebuchet MS" w:cs="Trebuchet MS"/>
          <w:b/>
          <w:bCs/>
          <w:i/>
          <w:iCs/>
          <w:sz w:val="22"/>
          <w:szCs w:val="22"/>
          <w:lang w:eastAsia="en-ZA"/>
        </w:rPr>
        <w:t>Trans-Pacific Partnership (TPP) Agreement</w:t>
      </w:r>
    </w:p>
    <w:p w:rsidR="00AB7884" w:rsidRDefault="00AB7884">
      <w:pPr>
        <w:pStyle w:val="ListParagraph"/>
        <w:ind w:left="0"/>
        <w:rPr>
          <w:sz w:val="22"/>
          <w:szCs w:val="22"/>
          <w:lang w:eastAsia="en-ZA"/>
        </w:rPr>
      </w:pPr>
      <w:r>
        <w:rPr>
          <w:sz w:val="22"/>
          <w:szCs w:val="22"/>
          <w:lang w:eastAsia="en-ZA"/>
        </w:rPr>
        <w:t xml:space="preserve">In 2011 the Intellectual Property Rights (IPR) Chapter of a draft agreement called the Trans-Pacific Partnership (TPP) was leaked to the public. This is another multinational agreement (involving nine countries) which has the intention of removing trade obstacles, such as tariffs and import quotas, to support open trade and investment in the Asia-Pacific region. The controversial provisions in the IPR Chapter make the TPP similar to ACTA.  </w:t>
      </w:r>
    </w:p>
    <w:p w:rsidR="00AB7884" w:rsidRDefault="00AB7884">
      <w:pPr>
        <w:pStyle w:val="ListParagraph"/>
        <w:ind w:left="0"/>
        <w:rPr>
          <w:sz w:val="22"/>
          <w:szCs w:val="22"/>
          <w:lang w:eastAsia="en-ZA"/>
        </w:rPr>
      </w:pPr>
    </w:p>
    <w:p w:rsidR="00AB7884" w:rsidRDefault="00AB7884">
      <w:pPr>
        <w:pStyle w:val="ListParagraph"/>
        <w:ind w:left="0"/>
        <w:rPr>
          <w:sz w:val="22"/>
          <w:szCs w:val="22"/>
        </w:rPr>
      </w:pPr>
      <w:r>
        <w:rPr>
          <w:sz w:val="22"/>
          <w:szCs w:val="22"/>
          <w:lang w:eastAsia="en-ZA"/>
        </w:rPr>
        <w:t>According to the leaked IPR Chapter the intention is to include IPR laws and rules of enforcement which are far more restrictive than those required by current international agreements. If the TPP is signed by all nine countries, other c</w:t>
      </w:r>
      <w:r>
        <w:rPr>
          <w:sz w:val="22"/>
          <w:szCs w:val="22"/>
        </w:rPr>
        <w:t xml:space="preserve">ountries that are not part of the negotiations will need to comply with the TPP as a condition of bilateral trade agreements with the TPP members.  Despite this, negotiations have taken place in secrecy and outside of the checks and balances that operate at traditional multilateral treaty-making organisations such as the WTO. Critics see the TPP as being similar to the ACTA. </w:t>
      </w:r>
    </w:p>
    <w:p w:rsidR="00AB7884" w:rsidRDefault="00AB7884">
      <w:pPr>
        <w:pStyle w:val="ListParagraph"/>
        <w:ind w:left="0"/>
        <w:rPr>
          <w:sz w:val="22"/>
          <w:szCs w:val="22"/>
          <w:lang w:eastAsia="en-ZA"/>
        </w:rPr>
      </w:pPr>
    </w:p>
    <w:p w:rsidR="00AB7884" w:rsidRDefault="00AB7884">
      <w:pPr>
        <w:pStyle w:val="ListParagraph"/>
        <w:ind w:left="0"/>
        <w:rPr>
          <w:rFonts w:ascii="Times New Roman" w:hAnsi="Times New Roman" w:cs="Times New Roman"/>
          <w:sz w:val="22"/>
          <w:szCs w:val="22"/>
        </w:rPr>
      </w:pPr>
      <w:r>
        <w:rPr>
          <w:sz w:val="22"/>
          <w:szCs w:val="22"/>
          <w:lang w:eastAsia="en-ZA"/>
        </w:rPr>
        <w:t xml:space="preserve">In March 2012 the agreement had already been signed by Brunei, Chile, New Zealand and Singapore. However, the other six negotiating partners had not yet agreed to all the terms – </w:t>
      </w:r>
      <w:r>
        <w:rPr>
          <w:sz w:val="22"/>
          <w:szCs w:val="22"/>
        </w:rPr>
        <w:t>Australia, Malaysia, Peru, Japan, the US and Vietnam.</w:t>
      </w:r>
    </w:p>
    <w:p w:rsidR="00AB7884" w:rsidRDefault="00AB7884">
      <w:pPr>
        <w:pStyle w:val="ListParagraph"/>
        <w:spacing w:before="120"/>
        <w:ind w:left="0"/>
        <w:rPr>
          <w:rFonts w:ascii="Times New Roman" w:hAnsi="Times New Roman" w:cs="Times New Roman"/>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9"/>
      </w:tblGrid>
      <w:tr w:rsidR="00AB7884" w:rsidRPr="0034040D">
        <w:tc>
          <w:tcPr>
            <w:tcW w:w="8721" w:type="dxa"/>
          </w:tcPr>
          <w:p w:rsidR="00AB7884" w:rsidRPr="0034040D" w:rsidRDefault="00AB7884">
            <w:pPr>
              <w:autoSpaceDE w:val="0"/>
              <w:autoSpaceDN w:val="0"/>
              <w:adjustRightInd w:val="0"/>
              <w:spacing w:before="120" w:after="120"/>
              <w:rPr>
                <w:rFonts w:ascii="Trebuchet MS" w:eastAsiaTheme="minorEastAsia" w:hAnsi="Trebuchet MS" w:cs="Trebuchet MS"/>
                <w:b/>
                <w:bCs/>
                <w:sz w:val="22"/>
                <w:szCs w:val="22"/>
                <w:lang w:val="en-ZA"/>
              </w:rPr>
            </w:pPr>
            <w:r w:rsidRPr="0034040D">
              <w:rPr>
                <w:rFonts w:ascii="Trebuchet MS" w:eastAsiaTheme="minorEastAsia" w:hAnsi="Trebuchet MS" w:cs="Trebuchet MS"/>
                <w:b/>
                <w:bCs/>
                <w:sz w:val="22"/>
                <w:szCs w:val="22"/>
                <w:lang w:val="en-ZA"/>
              </w:rPr>
              <w:lastRenderedPageBreak/>
              <w:t xml:space="preserve">Task 4 </w:t>
            </w:r>
            <w:r w:rsidRPr="0034040D">
              <w:rPr>
                <w:rFonts w:ascii="Times New Roman" w:eastAsiaTheme="minorEastAsia" w:hAnsi="Times New Roman" w:cs="Times New Roman"/>
                <w:b/>
                <w:bCs/>
                <w:sz w:val="22"/>
                <w:szCs w:val="22"/>
                <w:lang w:val="en-ZA"/>
              </w:rPr>
              <w:t>─</w:t>
            </w:r>
            <w:r w:rsidRPr="0034040D">
              <w:rPr>
                <w:rFonts w:ascii="Calibri" w:eastAsiaTheme="minorEastAsia" w:hAnsi="Calibri" w:cs="Calibri"/>
                <w:b/>
                <w:bCs/>
                <w:sz w:val="22"/>
                <w:szCs w:val="22"/>
                <w:lang w:val="en-ZA"/>
              </w:rPr>
              <w:t xml:space="preserve"> </w:t>
            </w:r>
            <w:r w:rsidRPr="0034040D">
              <w:rPr>
                <w:rFonts w:ascii="Trebuchet MS" w:eastAsiaTheme="minorEastAsia" w:hAnsi="Trebuchet MS" w:cs="Trebuchet MS"/>
                <w:b/>
                <w:bCs/>
                <w:sz w:val="22"/>
                <w:szCs w:val="22"/>
                <w:lang w:val="en-ZA"/>
              </w:rPr>
              <w:t>Define the meaning of the terms</w:t>
            </w:r>
          </w:p>
          <w:p w:rsidR="00AB7884" w:rsidRPr="0034040D" w:rsidRDefault="00AB7884">
            <w:p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 xml:space="preserve">Choose the correct definition from the list for the terms below: </w:t>
            </w:r>
          </w:p>
          <w:p w:rsidR="00AB7884" w:rsidRPr="0034040D" w:rsidRDefault="00AB7884" w:rsidP="007F44B4">
            <w:pPr>
              <w:pStyle w:val="ListParagraph"/>
              <w:numPr>
                <w:ilvl w:val="0"/>
                <w:numId w:val="4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Counterfeit medicines</w:t>
            </w:r>
          </w:p>
          <w:p w:rsidR="00AB7884" w:rsidRPr="0034040D" w:rsidRDefault="00AB7884" w:rsidP="007F44B4">
            <w:pPr>
              <w:pStyle w:val="ListParagraph"/>
              <w:numPr>
                <w:ilvl w:val="0"/>
                <w:numId w:val="4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 xml:space="preserve">Compulsory licensing </w:t>
            </w:r>
          </w:p>
          <w:p w:rsidR="00AB7884" w:rsidRPr="0034040D" w:rsidRDefault="00AB7884" w:rsidP="007F44B4">
            <w:pPr>
              <w:pStyle w:val="ListParagraph"/>
              <w:numPr>
                <w:ilvl w:val="0"/>
                <w:numId w:val="4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Voluntary licensing</w:t>
            </w:r>
          </w:p>
          <w:p w:rsidR="00AB7884" w:rsidRPr="0034040D" w:rsidRDefault="00AB7884" w:rsidP="007F44B4">
            <w:pPr>
              <w:pStyle w:val="ListParagraph"/>
              <w:numPr>
                <w:ilvl w:val="0"/>
                <w:numId w:val="4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 xml:space="preserve">Generics </w:t>
            </w:r>
          </w:p>
          <w:p w:rsidR="00AB7884" w:rsidRPr="0034040D" w:rsidRDefault="00AB7884" w:rsidP="007F44B4">
            <w:pPr>
              <w:pStyle w:val="ListParagraph"/>
              <w:numPr>
                <w:ilvl w:val="0"/>
                <w:numId w:val="4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Parallel imports</w:t>
            </w:r>
          </w:p>
          <w:p w:rsidR="00AB7884" w:rsidRPr="0034040D" w:rsidRDefault="00AB7884" w:rsidP="007F44B4">
            <w:pPr>
              <w:pStyle w:val="ListParagraph"/>
              <w:numPr>
                <w:ilvl w:val="0"/>
                <w:numId w:val="4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Evergreening</w:t>
            </w:r>
          </w:p>
          <w:p w:rsidR="00AB7884" w:rsidRPr="0034040D" w:rsidRDefault="00AB7884" w:rsidP="007F44B4">
            <w:pPr>
              <w:pStyle w:val="ListParagraph"/>
              <w:numPr>
                <w:ilvl w:val="0"/>
                <w:numId w:val="4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IPR</w:t>
            </w:r>
          </w:p>
          <w:p w:rsidR="00AB7884" w:rsidRPr="0034040D" w:rsidRDefault="00AB7884" w:rsidP="007F44B4">
            <w:pPr>
              <w:pStyle w:val="ListParagraph"/>
              <w:numPr>
                <w:ilvl w:val="0"/>
                <w:numId w:val="40"/>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Trademarks</w:t>
            </w:r>
          </w:p>
          <w:p w:rsidR="00AB7884" w:rsidRPr="0034040D" w:rsidRDefault="00AB7884">
            <w:pPr>
              <w:autoSpaceDE w:val="0"/>
              <w:autoSpaceDN w:val="0"/>
              <w:adjustRightInd w:val="0"/>
              <w:rPr>
                <w:rFonts w:ascii="Trebuchet MS" w:eastAsiaTheme="minorEastAsia" w:hAnsi="Trebuchet MS" w:cs="Trebuchet MS"/>
                <w:sz w:val="22"/>
                <w:szCs w:val="22"/>
                <w:lang w:val="en-ZA"/>
              </w:rPr>
            </w:pPr>
          </w:p>
          <w:p w:rsidR="00AB7884" w:rsidRPr="0034040D" w:rsidRDefault="00AB7884">
            <w:pPr>
              <w:autoSpaceDE w:val="0"/>
              <w:autoSpaceDN w:val="0"/>
              <w:adjustRightInd w:val="0"/>
              <w:rPr>
                <w:rFonts w:ascii="Trebuchet MS" w:eastAsiaTheme="minorEastAsia" w:hAnsi="Trebuchet MS" w:cs="Trebuchet MS"/>
              </w:rPr>
            </w:pPr>
            <w:r w:rsidRPr="0034040D">
              <w:rPr>
                <w:rFonts w:ascii="Trebuchet MS" w:eastAsiaTheme="minorEastAsia" w:hAnsi="Trebuchet MS" w:cs="Trebuchet MS"/>
                <w:b/>
                <w:bCs/>
                <w:sz w:val="22"/>
                <w:szCs w:val="22"/>
                <w:lang w:val="en-ZA"/>
              </w:rPr>
              <w:t>List of definitions</w:t>
            </w:r>
          </w:p>
          <w:p w:rsidR="00AB7884" w:rsidRPr="0034040D" w:rsidRDefault="00AB7884" w:rsidP="007F44B4">
            <w:pPr>
              <w:pStyle w:val="CommentText"/>
              <w:numPr>
                <w:ilvl w:val="0"/>
                <w:numId w:val="39"/>
              </w:numPr>
              <w:autoSpaceDE w:val="0"/>
              <w:autoSpaceDN w:val="0"/>
              <w:adjustRightInd w:val="0"/>
              <w:rPr>
                <w:rStyle w:val="texto11"/>
                <w:rFonts w:ascii="Times New Roman" w:eastAsiaTheme="minorEastAsia" w:hAnsi="Times New Roman" w:cs="Times New Roman"/>
              </w:rPr>
            </w:pPr>
            <w:r w:rsidRPr="0034040D">
              <w:rPr>
                <w:rStyle w:val="texto11"/>
                <w:rFonts w:ascii="Trebuchet MS" w:eastAsiaTheme="minorEastAsia" w:hAnsi="Trebuchet MS" w:cs="Trebuchet MS"/>
                <w:sz w:val="22"/>
                <w:szCs w:val="22"/>
              </w:rPr>
              <w:t>Protection of distinctive signs.</w:t>
            </w:r>
          </w:p>
          <w:p w:rsidR="00AB7884" w:rsidRPr="0034040D" w:rsidRDefault="00AB7884" w:rsidP="007F44B4">
            <w:pPr>
              <w:pStyle w:val="CommentText"/>
              <w:numPr>
                <w:ilvl w:val="0"/>
                <w:numId w:val="39"/>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rPr>
              <w:t>Those rights given to persons over the creations of their minds.</w:t>
            </w:r>
          </w:p>
          <w:p w:rsidR="00AB7884" w:rsidRPr="0034040D" w:rsidRDefault="00AB7884" w:rsidP="007F44B4">
            <w:pPr>
              <w:pStyle w:val="CommentText"/>
              <w:numPr>
                <w:ilvl w:val="0"/>
                <w:numId w:val="39"/>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rPr>
              <w:t xml:space="preserve">When a product made legally abroad is imported without the permission of the intellectual property right-holder. </w:t>
            </w:r>
          </w:p>
          <w:p w:rsidR="00AB7884" w:rsidRPr="0034040D" w:rsidRDefault="00AB7884" w:rsidP="007F44B4">
            <w:pPr>
              <w:pStyle w:val="ListParagraph"/>
              <w:numPr>
                <w:ilvl w:val="0"/>
                <w:numId w:val="39"/>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rPr>
              <w:t xml:space="preserve">Unauthorized representation of a registered trademark carried on goods identical or similar to goods for which the trademark is registered. </w:t>
            </w:r>
          </w:p>
          <w:p w:rsidR="00AB7884" w:rsidRPr="0034040D" w:rsidRDefault="00AB7884" w:rsidP="007F44B4">
            <w:pPr>
              <w:pStyle w:val="ListParagraph"/>
              <w:numPr>
                <w:ilvl w:val="0"/>
                <w:numId w:val="39"/>
              </w:numPr>
              <w:autoSpaceDE w:val="0"/>
              <w:autoSpaceDN w:val="0"/>
              <w:adjustRightInd w:val="0"/>
              <w:rPr>
                <w:rStyle w:val="texto11"/>
                <w:rFonts w:ascii="Times New Roman" w:eastAsiaTheme="minorEastAsia" w:hAnsi="Times New Roman" w:cs="Times New Roman"/>
              </w:rPr>
            </w:pPr>
            <w:r w:rsidRPr="0034040D">
              <w:rPr>
                <w:rFonts w:ascii="Trebuchet MS" w:eastAsiaTheme="minorEastAsia" w:hAnsi="Trebuchet MS" w:cs="Trebuchet MS"/>
                <w:sz w:val="22"/>
                <w:szCs w:val="22"/>
              </w:rPr>
              <w:t>T</w:t>
            </w:r>
            <w:r w:rsidRPr="0034040D">
              <w:rPr>
                <w:rStyle w:val="texto11"/>
                <w:rFonts w:ascii="Trebuchet MS" w:eastAsiaTheme="minorEastAsia" w:hAnsi="Trebuchet MS" w:cs="Trebuchet MS"/>
                <w:sz w:val="22"/>
                <w:szCs w:val="22"/>
                <w:lang w:val="en-US"/>
              </w:rPr>
              <w:t>he patent holder chooses to negotiate with others or not.</w:t>
            </w:r>
          </w:p>
          <w:p w:rsidR="00AB7884" w:rsidRPr="0034040D" w:rsidRDefault="00AB7884" w:rsidP="007F44B4">
            <w:pPr>
              <w:pStyle w:val="ListParagraph"/>
              <w:numPr>
                <w:ilvl w:val="0"/>
                <w:numId w:val="39"/>
              </w:numPr>
              <w:autoSpaceDE w:val="0"/>
              <w:autoSpaceDN w:val="0"/>
              <w:adjustRightInd w:val="0"/>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rPr>
              <w:t xml:space="preserve">When the authorities license companies or individuals other than the patent owner to use the rights of the patent without the permission of the patent owner. </w:t>
            </w:r>
          </w:p>
          <w:p w:rsidR="00AB7884" w:rsidRPr="0034040D" w:rsidRDefault="00AB7884" w:rsidP="007F44B4">
            <w:pPr>
              <w:pStyle w:val="CommentText"/>
              <w:numPr>
                <w:ilvl w:val="0"/>
                <w:numId w:val="39"/>
              </w:numPr>
              <w:autoSpaceDE w:val="0"/>
              <w:autoSpaceDN w:val="0"/>
              <w:adjustRightInd w:val="0"/>
              <w:rPr>
                <w:rFonts w:ascii="Times New Roman" w:eastAsiaTheme="minorEastAsia" w:hAnsi="Times New Roman" w:cs="Times New Roman"/>
              </w:rPr>
            </w:pPr>
            <w:r w:rsidRPr="0034040D">
              <w:rPr>
                <w:rFonts w:ascii="Trebuchet MS" w:eastAsiaTheme="minorEastAsia" w:hAnsi="Trebuchet MS" w:cs="Trebuchet MS"/>
                <w:sz w:val="22"/>
                <w:szCs w:val="22"/>
              </w:rPr>
              <w:t xml:space="preserve">Once a patent has expired pharmaceutical companies can seek patent protection through the process of making minor chemical modifications so that a drug can be considered a new invention and thus eligible for new patent protection. </w:t>
            </w:r>
          </w:p>
          <w:p w:rsidR="00AB7884" w:rsidRPr="0034040D" w:rsidRDefault="00AB7884" w:rsidP="007F44B4">
            <w:pPr>
              <w:pStyle w:val="CommentText"/>
              <w:numPr>
                <w:ilvl w:val="0"/>
                <w:numId w:val="39"/>
              </w:numPr>
              <w:autoSpaceDE w:val="0"/>
              <w:autoSpaceDN w:val="0"/>
              <w:adjustRightInd w:val="0"/>
              <w:rPr>
                <w:rFonts w:ascii="Times New Roman" w:eastAsiaTheme="minorEastAsia" w:hAnsi="Times New Roman" w:cs="Times New Roman"/>
              </w:rPr>
            </w:pPr>
            <w:r w:rsidRPr="0034040D">
              <w:rPr>
                <w:rFonts w:ascii="Trebuchet MS" w:eastAsiaTheme="minorEastAsia" w:hAnsi="Trebuchet MS" w:cs="Trebuchet MS"/>
                <w:sz w:val="22"/>
                <w:szCs w:val="22"/>
              </w:rPr>
              <w:t>Copies of a patented drug, or of a drug whose patent has expired.</w:t>
            </w:r>
          </w:p>
          <w:p w:rsidR="00AB7884" w:rsidRPr="0034040D" w:rsidRDefault="00AB7884">
            <w:pPr>
              <w:autoSpaceDE w:val="0"/>
              <w:autoSpaceDN w:val="0"/>
              <w:adjustRightInd w:val="0"/>
              <w:rPr>
                <w:rFonts w:ascii="Trebuchet MS" w:eastAsiaTheme="minorEastAsia" w:hAnsi="Trebuchet MS" w:cs="Trebuchet MS"/>
                <w:b/>
                <w:bCs/>
                <w:sz w:val="22"/>
                <w:szCs w:val="22"/>
                <w:lang w:val="en-ZA"/>
              </w:rPr>
            </w:pPr>
          </w:p>
        </w:tc>
      </w:tr>
    </w:tbl>
    <w:p w:rsidR="00AB7884" w:rsidRDefault="00AB7884">
      <w:pPr>
        <w:pStyle w:val="CommentText"/>
        <w:autoSpaceDE w:val="0"/>
        <w:autoSpaceDN w:val="0"/>
        <w:adjustRightInd w:val="0"/>
        <w:spacing w:before="240" w:after="120"/>
        <w:rPr>
          <w:rFonts w:ascii="Trebuchet MS" w:hAnsi="Trebuchet MS" w:cs="Trebuchet MS"/>
          <w:b/>
          <w:bCs/>
          <w:sz w:val="22"/>
          <w:szCs w:val="22"/>
          <w:lang w:val="en-ZA"/>
        </w:rPr>
      </w:pPr>
      <w:r>
        <w:rPr>
          <w:rFonts w:ascii="Trebuchet MS" w:hAnsi="Trebuchet MS" w:cs="Trebuchet MS"/>
          <w:b/>
          <w:bCs/>
          <w:sz w:val="22"/>
          <w:szCs w:val="22"/>
          <w:lang w:val="en-ZA"/>
        </w:rPr>
        <w:t>FEEDBACK</w:t>
      </w:r>
    </w:p>
    <w:p w:rsidR="00AB7884" w:rsidRDefault="00AB7884">
      <w:pPr>
        <w:pStyle w:val="CommentText"/>
        <w:autoSpaceDE w:val="0"/>
        <w:autoSpaceDN w:val="0"/>
        <w:adjustRightInd w:val="0"/>
        <w:rPr>
          <w:sz w:val="22"/>
          <w:szCs w:val="22"/>
          <w:lang w:val="en-ZA"/>
        </w:rPr>
      </w:pPr>
      <w:r>
        <w:rPr>
          <w:sz w:val="22"/>
          <w:szCs w:val="22"/>
          <w:lang w:val="en-ZA"/>
        </w:rPr>
        <w:t>1:D; 2:F; 3:E; 4:H; 5:C; 6:G; 7:B; 8:A.</w:t>
      </w:r>
    </w:p>
    <w:p w:rsidR="00AB7884" w:rsidRDefault="00AB7884">
      <w:pPr>
        <w:pStyle w:val="CommentText"/>
        <w:autoSpaceDE w:val="0"/>
        <w:autoSpaceDN w:val="0"/>
        <w:adjustRightInd w:val="0"/>
        <w:ind w:left="720"/>
        <w:rPr>
          <w:rStyle w:val="texto11"/>
          <w:rFonts w:ascii="Times New Roman" w:hAnsi="Times New Roman" w:cs="Times New Roman"/>
        </w:rPr>
      </w:pPr>
      <w:r>
        <w:rPr>
          <w:sz w:val="22"/>
          <w:szCs w:val="22"/>
          <w:lang w:val="en-ZA"/>
        </w:rPr>
        <w:t>“</w:t>
      </w:r>
      <w:r>
        <w:rPr>
          <w:rStyle w:val="texto11"/>
          <w:rFonts w:ascii="Trebuchet MS" w:hAnsi="Trebuchet MS" w:cs="Trebuchet MS"/>
          <w:i/>
          <w:iCs/>
          <w:sz w:val="22"/>
          <w:szCs w:val="22"/>
          <w:lang w:val="en-US"/>
        </w:rPr>
        <w:t>From an ethical perspective, it is clearly unacceptable to leave the health needs of the developing world to the profit-seeking motives of the commercial market</w:t>
      </w:r>
      <w:r>
        <w:rPr>
          <w:rStyle w:val="texto11"/>
          <w:rFonts w:ascii="Trebuchet MS" w:hAnsi="Trebuchet MS" w:cs="Trebuchet MS"/>
          <w:sz w:val="22"/>
          <w:szCs w:val="22"/>
          <w:lang w:val="en-US"/>
        </w:rPr>
        <w:t>” (Lee &amp; Collins, 2005).</w:t>
      </w:r>
    </w:p>
    <w:p w:rsidR="00AB7884" w:rsidRDefault="00AB7884">
      <w:pPr>
        <w:pStyle w:val="CommentText"/>
        <w:autoSpaceDE w:val="0"/>
        <w:autoSpaceDN w:val="0"/>
        <w:adjustRightInd w:val="0"/>
        <w:rPr>
          <w:rStyle w:val="texto11"/>
          <w:rFonts w:ascii="Times New Roman" w:hAnsi="Times New Roman" w:cs="Times New Roman"/>
        </w:rPr>
      </w:pPr>
    </w:p>
    <w:p w:rsidR="00AB7884" w:rsidRDefault="00AB7884">
      <w:pPr>
        <w:pStyle w:val="CommentText"/>
        <w:rPr>
          <w:rFonts w:ascii="Times New Roman" w:hAnsi="Times New Roman" w:cs="Times New Roman"/>
          <w:sz w:val="22"/>
          <w:szCs w:val="22"/>
        </w:rPr>
      </w:pPr>
      <w:r>
        <w:rPr>
          <w:sz w:val="22"/>
          <w:szCs w:val="22"/>
        </w:rPr>
        <w:t xml:space="preserve">Much of the ideological debate around globalisation and trade liberalisation implies that the ‘free market’ is the best for option for economic growth and human development. However, patents and IPR are examples of interference in the free market, with the goal of maximising profits (which in itself is normal and rational in capitalism). However, reflecting on patents and pharmaceuticals helps us to see some of the competing interests and the power relations at play. It also, paradoxically, points out that States, agreements and treaties can and do interfere with ‘free markets’ and competition in order achieve certain goals. </w:t>
      </w:r>
    </w:p>
    <w:p w:rsidR="00AB7884" w:rsidRDefault="00AB7884">
      <w:pPr>
        <w:pStyle w:val="CommentText"/>
        <w:rPr>
          <w:rFonts w:ascii="Times New Roman" w:hAnsi="Times New Roman" w:cs="Times New Roman"/>
          <w:sz w:val="22"/>
          <w:szCs w:val="22"/>
        </w:rPr>
      </w:pPr>
    </w:p>
    <w:p w:rsidR="00AB7884" w:rsidRDefault="00AB7884">
      <w:pPr>
        <w:pStyle w:val="CommentText"/>
        <w:rPr>
          <w:sz w:val="22"/>
          <w:szCs w:val="22"/>
        </w:rPr>
      </w:pPr>
      <w:r>
        <w:rPr>
          <w:sz w:val="22"/>
          <w:szCs w:val="22"/>
        </w:rPr>
        <w:t>The question for us in this Module is: what actions and interventions can protect the societal goals of health and health equity, and the equal access to essential medicines by those who need them? In order to explore this question further, we will use the case study of HIV/AIDS and access to ARVs.</w:t>
      </w:r>
    </w:p>
    <w:p w:rsidR="00AB7884" w:rsidRDefault="00AB7884">
      <w:pPr>
        <w:pStyle w:val="CommentText"/>
        <w:rPr>
          <w:rFonts w:ascii="Times New Roman" w:hAnsi="Times New Roman" w:cs="Times New Roman"/>
          <w:sz w:val="22"/>
          <w:szCs w:val="22"/>
        </w:rPr>
      </w:pP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7"/>
        <w:gridCol w:w="7403"/>
      </w:tblGrid>
      <w:tr w:rsidR="00AB7884" w:rsidRPr="0034040D" w:rsidTr="00556CD8">
        <w:trPr>
          <w:trHeight w:val="1104"/>
        </w:trPr>
        <w:tc>
          <w:tcPr>
            <w:tcW w:w="1147" w:type="dxa"/>
          </w:tcPr>
          <w:p w:rsidR="00AB7884" w:rsidRPr="0034040D" w:rsidRDefault="00717A10">
            <w:pPr>
              <w:spacing w:before="120" w:after="120"/>
              <w:rPr>
                <w:rFonts w:ascii="Trebuchet MS" w:eastAsiaTheme="minorEastAsia" w:hAnsi="Trebuchet MS" w:cs="Trebuchet MS"/>
                <w:b/>
                <w:bCs/>
                <w:sz w:val="22"/>
                <w:szCs w:val="22"/>
              </w:rPr>
            </w:pPr>
            <w:r w:rsidRPr="00717A10">
              <w:rPr>
                <w:rFonts w:ascii="Trebuchet MS" w:eastAsiaTheme="minorEastAsia" w:hAnsi="Trebuchet MS" w:cs="Trebuchet MS"/>
                <w:noProof/>
                <w:sz w:val="22"/>
                <w:szCs w:val="22"/>
                <w:lang w:val="en-ZA" w:eastAsia="en-ZA"/>
              </w:rPr>
              <w:lastRenderedPageBreak/>
              <w:pict>
                <v:shape id="_x0000_i1073" type="#_x0000_t75" style="width:53.25pt;height:59.25pt;visibility:visible">
                  <v:imagedata r:id="rId13" o:title=""/>
                </v:shape>
              </w:pict>
            </w:r>
          </w:p>
        </w:tc>
        <w:tc>
          <w:tcPr>
            <w:tcW w:w="7403" w:type="dxa"/>
          </w:tcPr>
          <w:p w:rsidR="00AB7884" w:rsidRPr="0034040D" w:rsidRDefault="00AB7884">
            <w:pPr>
              <w:pStyle w:val="Foote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Internet Resource</w:t>
            </w:r>
          </w:p>
          <w:p w:rsidR="00AB7884" w:rsidRPr="0034040D" w:rsidRDefault="00AB7884">
            <w:pPr>
              <w:autoSpaceDE w:val="0"/>
              <w:autoSpaceDN w:val="0"/>
              <w:adjustRightInd w:val="0"/>
              <w:rPr>
                <w:rFonts w:ascii="Trebuchet MS" w:eastAsiaTheme="minorEastAsia" w:hAnsi="Trebuchet MS" w:cs="Trebuchet MS"/>
                <w:sz w:val="22"/>
                <w:szCs w:val="22"/>
              </w:rPr>
            </w:pPr>
            <w:r w:rsidRPr="0034040D">
              <w:rPr>
                <w:rFonts w:ascii="Trebuchet MS" w:eastAsiaTheme="minorEastAsia" w:hAnsi="Trebuchet MS" w:cs="Trebuchet MS"/>
                <w:sz w:val="22"/>
                <w:szCs w:val="22"/>
              </w:rPr>
              <w:t xml:space="preserve">This two-part series, </w:t>
            </w:r>
            <w:r w:rsidRPr="0034040D">
              <w:rPr>
                <w:rFonts w:ascii="Trebuchet MS" w:eastAsiaTheme="minorEastAsia" w:hAnsi="Trebuchet MS" w:cs="Trebuchet MS"/>
                <w:i/>
                <w:iCs/>
                <w:sz w:val="22"/>
                <w:szCs w:val="22"/>
              </w:rPr>
              <w:t>The great billion dollar drug scam</w:t>
            </w:r>
            <w:r w:rsidRPr="0034040D">
              <w:rPr>
                <w:rFonts w:ascii="Trebuchet MS" w:eastAsiaTheme="minorEastAsia" w:hAnsi="Trebuchet MS" w:cs="Trebuchet MS"/>
                <w:sz w:val="22"/>
                <w:szCs w:val="22"/>
              </w:rPr>
              <w:t xml:space="preserve">, examines methods used by Big Pharma to control markets and lives. </w:t>
            </w:r>
          </w:p>
          <w:p w:rsidR="00AB7884" w:rsidRPr="00556CD8" w:rsidRDefault="00717A10">
            <w:pPr>
              <w:spacing w:before="120" w:after="120"/>
              <w:rPr>
                <w:rFonts w:ascii="Trebuchet MS" w:eastAsiaTheme="minorEastAsia" w:hAnsi="Trebuchet MS" w:cs="Trebuchet MS"/>
              </w:rPr>
            </w:pPr>
            <w:hyperlink r:id="rId83" w:history="1">
              <w:r w:rsidR="00AB7884" w:rsidRPr="00556CD8">
                <w:rPr>
                  <w:rStyle w:val="Hyperlink"/>
                  <w:rFonts w:ascii="Trebuchet MS" w:eastAsiaTheme="minorEastAsia" w:hAnsi="Trebuchet MS" w:cs="Trebuchet MS"/>
                  <w:u w:val="none"/>
                </w:rPr>
                <w:t>www.aljazeera.com/indepth/opinion/2011/06/20116297573191484.html</w:t>
              </w:r>
            </w:hyperlink>
            <w:r w:rsidR="00AB7884" w:rsidRPr="00556CD8">
              <w:rPr>
                <w:rStyle w:val="Hyperlink"/>
                <w:rFonts w:ascii="Trebuchet MS" w:eastAsiaTheme="minorEastAsia" w:hAnsi="Trebuchet MS" w:cs="Trebuchet MS"/>
                <w:u w:val="none"/>
              </w:rPr>
              <w:t xml:space="preserve">; </w:t>
            </w:r>
            <w:hyperlink r:id="rId84" w:history="1">
              <w:r w:rsidR="00AB7884" w:rsidRPr="00556CD8">
                <w:rPr>
                  <w:rStyle w:val="Hyperlink"/>
                  <w:rFonts w:ascii="Trebuchet MS" w:eastAsiaTheme="minorEastAsia" w:hAnsi="Trebuchet MS" w:cs="Trebuchet MS"/>
                  <w:u w:val="none"/>
                </w:rPr>
                <w:t>www.aljazeera.com/indepth/opinion/2011/06/201162994039172374.html</w:t>
              </w:r>
            </w:hyperlink>
          </w:p>
        </w:tc>
      </w:tr>
    </w:tbl>
    <w:p w:rsidR="00AB7884" w:rsidRDefault="00AB7884">
      <w:pPr>
        <w:pStyle w:val="Heading2"/>
        <w:rPr>
          <w:rFonts w:ascii="Trebuchet MS" w:hAnsi="Trebuchet MS" w:cs="Trebuchet MS"/>
          <w:sz w:val="22"/>
          <w:szCs w:val="22"/>
        </w:rPr>
      </w:pPr>
    </w:p>
    <w:p w:rsidR="00AB7884" w:rsidRDefault="00AB7884">
      <w:pPr>
        <w:pStyle w:val="Heading2"/>
        <w:rPr>
          <w:rFonts w:ascii="Trebuchet MS" w:hAnsi="Trebuchet MS" w:cs="Trebuchet MS"/>
          <w:color w:val="FF0000"/>
          <w:sz w:val="24"/>
          <w:szCs w:val="24"/>
        </w:rPr>
      </w:pPr>
      <w:r>
        <w:rPr>
          <w:rFonts w:ascii="Trebuchet MS" w:hAnsi="Trebuchet MS" w:cs="Trebuchet MS"/>
          <w:sz w:val="28"/>
          <w:szCs w:val="28"/>
        </w:rPr>
        <w:t>4</w:t>
      </w:r>
      <w:r>
        <w:rPr>
          <w:rFonts w:ascii="Trebuchet MS" w:hAnsi="Trebuchet MS" w:cs="Trebuchet MS"/>
          <w:sz w:val="28"/>
          <w:szCs w:val="28"/>
        </w:rPr>
        <w:tab/>
        <w:t xml:space="preserve">HIV/AIDS AND ACCESS TO ANTIRETROVIRALS </w:t>
      </w:r>
    </w:p>
    <w:p w:rsidR="00AB7884" w:rsidRDefault="00717A10">
      <w:pPr>
        <w:spacing w:after="120"/>
        <w:rPr>
          <w:rFonts w:ascii="Trebuchet MS" w:hAnsi="Trebuchet MS" w:cs="Trebuchet MS"/>
          <w:b/>
          <w:bCs/>
          <w:sz w:val="18"/>
          <w:szCs w:val="18"/>
        </w:rPr>
      </w:pPr>
      <w:r w:rsidRPr="00717A10">
        <w:rPr>
          <w:color w:val="FF0000"/>
          <w:sz w:val="24"/>
          <w:szCs w:val="24"/>
        </w:rPr>
        <w:pict>
          <v:rect id="_x0000_i1074" style="width:425.2pt;height:2pt" o:hralign="center" o:hrstd="t" o:hrnoshade="t" o:hr="t" fillcolor="black" stroked="f"/>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50"/>
      </w:tblGrid>
      <w:tr w:rsidR="00AB7884" w:rsidRPr="0034040D" w:rsidTr="00556CD8">
        <w:tc>
          <w:tcPr>
            <w:tcW w:w="8550" w:type="dxa"/>
            <w:shd w:val="clear" w:color="auto" w:fill="595959"/>
          </w:tcPr>
          <w:p w:rsidR="00AB7884" w:rsidRPr="0034040D" w:rsidRDefault="00AB7884">
            <w:pPr>
              <w:spacing w:before="120" w:after="120"/>
              <w:rPr>
                <w:rFonts w:ascii="Trebuchet MS" w:eastAsiaTheme="minorEastAsia" w:hAnsi="Trebuchet MS" w:cs="Trebuchet MS"/>
                <w:color w:val="FF0000"/>
                <w:sz w:val="22"/>
                <w:szCs w:val="22"/>
              </w:rPr>
            </w:pPr>
            <w:r w:rsidRPr="0034040D">
              <w:rPr>
                <w:rFonts w:ascii="Times New Roman" w:eastAsiaTheme="minorEastAsia" w:hAnsi="Times New Roman" w:cs="Times New Roman"/>
              </w:rPr>
              <w:br w:type="page"/>
            </w:r>
            <w:r w:rsidRPr="0034040D">
              <w:rPr>
                <w:rFonts w:ascii="Times New Roman" w:eastAsiaTheme="minorEastAsia" w:hAnsi="Times New Roman" w:cs="Times New Roman"/>
              </w:rPr>
              <w:br w:type="page"/>
            </w:r>
            <w:r w:rsidRPr="0034040D">
              <w:rPr>
                <w:rFonts w:eastAsiaTheme="minorEastAsia"/>
                <w:b/>
                <w:bCs/>
                <w:sz w:val="22"/>
                <w:szCs w:val="22"/>
              </w:rPr>
              <w:br w:type="page"/>
            </w:r>
            <w:r w:rsidRPr="0034040D">
              <w:rPr>
                <w:rFonts w:ascii="Trebuchet MS" w:eastAsiaTheme="minorEastAsia" w:hAnsi="Trebuchet MS" w:cs="Trebuchet MS"/>
                <w:b/>
                <w:bCs/>
                <w:color w:val="FFFFFF"/>
                <w:sz w:val="22"/>
                <w:szCs w:val="22"/>
              </w:rPr>
              <w:t>CASE STUDY: HIV/AIDS and access to antiretrovirals (ARVs)</w:t>
            </w:r>
          </w:p>
        </w:tc>
      </w:tr>
      <w:tr w:rsidR="00AB7884" w:rsidRPr="0034040D" w:rsidTr="00556CD8">
        <w:tc>
          <w:tcPr>
            <w:tcW w:w="8550" w:type="dxa"/>
            <w:shd w:val="clear" w:color="auto" w:fill="F2F2F2"/>
          </w:tcPr>
          <w:p w:rsidR="00AB7884" w:rsidRPr="0034040D" w:rsidRDefault="00AB7884">
            <w:pPr>
              <w:spacing w:before="240" w:after="120"/>
              <w:rPr>
                <w:rFonts w:ascii="Trebuchet MS" w:eastAsiaTheme="minorEastAsia" w:hAnsi="Trebuchet MS" w:cs="Trebuchet MS"/>
                <w:sz w:val="22"/>
                <w:szCs w:val="22"/>
                <w:lang w:eastAsia="en-ZA"/>
              </w:rPr>
            </w:pPr>
            <w:r w:rsidRPr="0034040D">
              <w:rPr>
                <w:rFonts w:ascii="Times New Roman" w:eastAsiaTheme="minorEastAsia" w:hAnsi="Times New Roman" w:cs="Times New Roman"/>
              </w:rPr>
              <w:br w:type="page"/>
            </w:r>
            <w:r w:rsidRPr="0034040D">
              <w:rPr>
                <w:rFonts w:ascii="Trebuchet MS" w:eastAsiaTheme="minorEastAsia" w:hAnsi="Trebuchet MS" w:cs="Trebuchet MS"/>
                <w:b/>
                <w:bCs/>
                <w:sz w:val="22"/>
                <w:szCs w:val="22"/>
              </w:rPr>
              <w:t xml:space="preserve">Background </w:t>
            </w:r>
            <w:r w:rsidRPr="0034040D">
              <w:rPr>
                <w:rFonts w:ascii="Trebuchet MS" w:eastAsiaTheme="minorEastAsia" w:hAnsi="Trebuchet MS" w:cs="Trebuchet MS"/>
                <w:b/>
                <w:bCs/>
                <w:sz w:val="22"/>
                <w:szCs w:val="22"/>
              </w:rPr>
              <w:br/>
            </w:r>
            <w:r w:rsidRPr="0034040D">
              <w:rPr>
                <w:rFonts w:ascii="Trebuchet MS" w:eastAsiaTheme="minorEastAsia" w:hAnsi="Trebuchet MS" w:cs="Trebuchet MS"/>
                <w:sz w:val="22"/>
                <w:szCs w:val="22"/>
                <w:lang w:eastAsia="en-ZA"/>
              </w:rPr>
              <w:t>The global AIDS crisis radically changed policies and practices in the global pharmaceutical trade in relation to access to essential medicines to protect public health. The developments that have taken place in relation to antiretrovirals (ARVs) are instructive, both in terms of analysing power relations in the global trade of pharmaceuticals, as well as the points of intervention.</w:t>
            </w:r>
          </w:p>
          <w:p w:rsidR="00AB7884" w:rsidRPr="0034040D" w:rsidRDefault="00AB7884">
            <w:pPr>
              <w:spacing w:after="200"/>
              <w:rPr>
                <w:rFonts w:ascii="Trebuchet MS" w:eastAsiaTheme="minorEastAsia" w:hAnsi="Trebuchet MS" w:cs="Trebuchet MS"/>
                <w:sz w:val="22"/>
                <w:szCs w:val="22"/>
              </w:rPr>
            </w:pPr>
            <w:r w:rsidRPr="0034040D">
              <w:rPr>
                <w:rFonts w:ascii="Trebuchet MS" w:eastAsiaTheme="minorEastAsia" w:hAnsi="Trebuchet MS" w:cs="Trebuchet MS"/>
                <w:sz w:val="22"/>
                <w:szCs w:val="22"/>
                <w:lang w:eastAsia="en-ZA"/>
              </w:rPr>
              <w:t xml:space="preserve">In 1990, there were approximately 8 million people around the world living with HIV. By 1993, this figure had increased to 14 million, with an estimated 9 million being in the Sub-Saharan region </w:t>
            </w:r>
            <w:r w:rsidRPr="0034040D">
              <w:rPr>
                <w:rFonts w:ascii="Trebuchet MS" w:eastAsiaTheme="minorEastAsia" w:hAnsi="Trebuchet MS" w:cs="Trebuchet MS"/>
                <w:sz w:val="22"/>
                <w:szCs w:val="22"/>
                <w:lang w:val="en-ZA" w:eastAsia="en-ZA"/>
              </w:rPr>
              <w:t xml:space="preserve">– a region with only 12% of the global population </w:t>
            </w:r>
            <w:r w:rsidRPr="0034040D">
              <w:rPr>
                <w:rFonts w:ascii="Trebuchet MS" w:eastAsiaTheme="minorEastAsia" w:hAnsi="Trebuchet MS" w:cs="Trebuchet MS"/>
                <w:sz w:val="22"/>
                <w:szCs w:val="22"/>
                <w:lang w:eastAsia="en-ZA"/>
              </w:rPr>
              <w:t>(</w:t>
            </w:r>
            <w:r w:rsidRPr="0034040D">
              <w:rPr>
                <w:rFonts w:ascii="Trebuchet MS" w:eastAsiaTheme="minorEastAsia" w:hAnsi="Trebuchet MS" w:cs="Trebuchet MS"/>
                <w:sz w:val="22"/>
                <w:szCs w:val="22"/>
              </w:rPr>
              <w:t xml:space="preserve">WHO, 1995). </w:t>
            </w:r>
          </w:p>
          <w:p w:rsidR="00AB7884" w:rsidRPr="0034040D" w:rsidRDefault="00AB7884">
            <w:pPr>
              <w:spacing w:after="200"/>
              <w:rPr>
                <w:rFonts w:ascii="Trebuchet MS" w:eastAsiaTheme="minorEastAsia" w:hAnsi="Trebuchet MS" w:cs="Trebuchet MS"/>
                <w:sz w:val="22"/>
                <w:szCs w:val="22"/>
              </w:rPr>
            </w:pPr>
            <w:r w:rsidRPr="0034040D">
              <w:rPr>
                <w:rFonts w:ascii="Trebuchet MS" w:eastAsiaTheme="minorEastAsia" w:hAnsi="Trebuchet MS" w:cs="Trebuchet MS"/>
                <w:color w:val="171715"/>
                <w:sz w:val="22"/>
                <w:szCs w:val="22"/>
                <w:lang w:val="en-ZA"/>
              </w:rPr>
              <w:t xml:space="preserve">In 1996, the first combination therapy that delays the onset of AIDS </w:t>
            </w:r>
            <w:r w:rsidRPr="0034040D">
              <w:rPr>
                <w:rFonts w:ascii="Trebuchet MS" w:eastAsiaTheme="minorEastAsia" w:hAnsi="Trebuchet MS" w:cs="Trebuchet MS"/>
                <w:color w:val="171715"/>
                <w:sz w:val="22"/>
                <w:szCs w:val="22"/>
              </w:rPr>
              <w:t xml:space="preserve">– </w:t>
            </w:r>
            <w:r w:rsidRPr="0034040D">
              <w:rPr>
                <w:rFonts w:ascii="Trebuchet MS" w:eastAsiaTheme="minorEastAsia" w:hAnsi="Trebuchet MS" w:cs="Trebuchet MS"/>
                <w:sz w:val="22"/>
                <w:szCs w:val="22"/>
              </w:rPr>
              <w:t xml:space="preserve">HAART – became available to those living with HIV in developed countries. Within four years, by 2000, death rates for people with HIV/AIDS in these countries had dropped by 84% (Avert, 2011). </w:t>
            </w:r>
          </w:p>
          <w:p w:rsidR="00AB7884" w:rsidRPr="0034040D" w:rsidRDefault="00AB7884">
            <w:pPr>
              <w:spacing w:after="200"/>
              <w:rPr>
                <w:rFonts w:eastAsiaTheme="minorEastAsia"/>
                <w:sz w:val="22"/>
                <w:szCs w:val="22"/>
                <w:vertAlign w:val="superscript"/>
              </w:rPr>
            </w:pPr>
            <w:r w:rsidRPr="0034040D">
              <w:rPr>
                <w:rFonts w:ascii="Trebuchet MS" w:eastAsiaTheme="minorEastAsia" w:hAnsi="Trebuchet MS" w:cs="Trebuchet MS"/>
                <w:sz w:val="22"/>
                <w:szCs w:val="22"/>
              </w:rPr>
              <w:t>On the other hand, by 1998, in Sub-Saharan Africa only</w:t>
            </w:r>
            <w:r w:rsidRPr="0034040D">
              <w:rPr>
                <w:rFonts w:ascii="Trebuchet MS" w:eastAsiaTheme="minorEastAsia" w:hAnsi="Trebuchet MS" w:cs="Trebuchet MS"/>
                <w:sz w:val="22"/>
                <w:szCs w:val="22"/>
                <w:lang w:eastAsia="en-ZA"/>
              </w:rPr>
              <w:t xml:space="preserve"> 1 000 people living with HIV/AIDS had access to life-saving medications, due to a number of factors such as affordability, discrimination and the lack of an effective health care infrastructure. </w:t>
            </w:r>
            <w:r w:rsidRPr="0034040D">
              <w:rPr>
                <w:rFonts w:ascii="Trebuchet MS" w:eastAsiaTheme="minorEastAsia" w:hAnsi="Trebuchet MS" w:cs="Trebuchet MS"/>
                <w:b/>
                <w:bCs/>
                <w:sz w:val="22"/>
                <w:szCs w:val="22"/>
              </w:rPr>
              <w:br w:type="page"/>
            </w:r>
          </w:p>
        </w:tc>
      </w:tr>
    </w:tbl>
    <w:p w:rsidR="00AB7884" w:rsidRDefault="00AB7884" w:rsidP="00556CD8">
      <w:pPr>
        <w:pStyle w:val="Footer"/>
        <w:tabs>
          <w:tab w:val="clear" w:pos="4320"/>
          <w:tab w:val="clear" w:pos="8640"/>
        </w:tabs>
        <w:rPr>
          <w:rFonts w:ascii="Times New Roman" w:hAnsi="Times New Roman" w:cs="Times New Roman"/>
          <w:lang w:val="en-GB"/>
        </w:rPr>
      </w:pPr>
      <w:r>
        <w:rPr>
          <w:rFonts w:ascii="Times New Roman" w:hAnsi="Times New Roman" w:cs="Times New Roman"/>
          <w:lang w:val="en-GB"/>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9"/>
      </w:tblGrid>
      <w:tr w:rsidR="00AB7884" w:rsidRPr="0034040D">
        <w:trPr>
          <w:trHeight w:val="10359"/>
        </w:trPr>
        <w:tc>
          <w:tcPr>
            <w:tcW w:w="8721" w:type="dxa"/>
            <w:shd w:val="clear" w:color="auto" w:fill="F2F2F2"/>
          </w:tcPr>
          <w:p w:rsidR="00AB7884" w:rsidRPr="0034040D" w:rsidRDefault="00AB7884">
            <w:pPr>
              <w:spacing w:before="240" w:after="120"/>
              <w:rPr>
                <w:rFonts w:eastAsiaTheme="minorEastAsia"/>
                <w:b/>
                <w:bCs/>
                <w:sz w:val="22"/>
                <w:szCs w:val="22"/>
              </w:rPr>
            </w:pPr>
            <w:r w:rsidRPr="0034040D">
              <w:rPr>
                <w:rFonts w:ascii="Trebuchet MS" w:eastAsiaTheme="minorEastAsia" w:hAnsi="Trebuchet MS" w:cs="Trebuchet MS"/>
                <w:b/>
                <w:bCs/>
                <w:sz w:val="22"/>
                <w:szCs w:val="22"/>
                <w:lang w:val="en-ZA"/>
              </w:rPr>
              <w:br w:type="page"/>
            </w:r>
            <w:r w:rsidRPr="0034040D">
              <w:rPr>
                <w:rFonts w:ascii="Times New Roman" w:eastAsiaTheme="minorEastAsia" w:hAnsi="Times New Roman" w:cs="Times New Roman"/>
              </w:rPr>
              <w:br w:type="page"/>
            </w:r>
            <w:r w:rsidRPr="0034040D">
              <w:rPr>
                <w:rFonts w:ascii="Trebuchet MS" w:eastAsiaTheme="minorEastAsia" w:hAnsi="Trebuchet MS" w:cs="Trebuchet MS"/>
                <w:b/>
                <w:bCs/>
                <w:sz w:val="22"/>
                <w:szCs w:val="22"/>
                <w:lang w:val="en-ZA"/>
              </w:rPr>
              <w:t>Figure 2.3.2 Africa’s Health Crisis: HIV Prevalence</w:t>
            </w:r>
          </w:p>
          <w:p w:rsidR="00AB7884" w:rsidRPr="0034040D" w:rsidRDefault="00717A10">
            <w:pPr>
              <w:autoSpaceDE w:val="0"/>
              <w:autoSpaceDN w:val="0"/>
              <w:adjustRightInd w:val="0"/>
              <w:rPr>
                <w:rFonts w:eastAsiaTheme="minorEastAsia"/>
                <w:color w:val="000000"/>
                <w:lang w:val="en-ZA"/>
              </w:rPr>
            </w:pPr>
            <w:r w:rsidRPr="00717A10">
              <w:rPr>
                <w:rFonts w:eastAsiaTheme="minorEastAsia"/>
                <w:noProof/>
                <w:sz w:val="22"/>
                <w:szCs w:val="22"/>
                <w:lang w:val="en-ZA" w:eastAsia="en-ZA"/>
              </w:rPr>
              <w:pict>
                <v:shape id="_x0000_i1075" type="#_x0000_t75" style="width:423pt;height:222.75pt;visibility:visible">
                  <v:imagedata r:id="rId85" o:title=""/>
                </v:shape>
              </w:pict>
            </w:r>
            <w:r w:rsidR="00AB7884" w:rsidRPr="0034040D">
              <w:rPr>
                <w:rFonts w:eastAsiaTheme="minorEastAsia"/>
                <w:color w:val="000000"/>
                <w:lang w:val="en-ZA"/>
              </w:rPr>
              <w:t xml:space="preserve"> </w:t>
            </w:r>
          </w:p>
          <w:p w:rsidR="00AB7884" w:rsidRPr="0034040D" w:rsidRDefault="00AB7884">
            <w:pPr>
              <w:autoSpaceDE w:val="0"/>
              <w:autoSpaceDN w:val="0"/>
              <w:adjustRightInd w:val="0"/>
              <w:spacing w:before="120"/>
              <w:rPr>
                <w:rFonts w:eastAsiaTheme="minorEastAsia"/>
                <w:color w:val="000000"/>
                <w:lang w:val="en-ZA"/>
              </w:rPr>
            </w:pPr>
            <w:r w:rsidRPr="0034040D">
              <w:rPr>
                <w:rFonts w:eastAsiaTheme="minorEastAsia"/>
                <w:color w:val="000000"/>
                <w:lang w:val="en-ZA"/>
              </w:rPr>
              <w:t>Territory size shows the proportion of all people aged 15–49 with HIV worldwide, living there.</w:t>
            </w:r>
          </w:p>
          <w:p w:rsidR="00AB7884" w:rsidRPr="0034040D" w:rsidRDefault="00AB7884">
            <w:pPr>
              <w:autoSpaceDE w:val="0"/>
              <w:autoSpaceDN w:val="0"/>
              <w:adjustRightInd w:val="0"/>
              <w:spacing w:after="120"/>
              <w:rPr>
                <w:rFonts w:eastAsiaTheme="minorEastAsia"/>
                <w:lang w:eastAsia="en-ZA"/>
              </w:rPr>
            </w:pPr>
            <w:r w:rsidRPr="0034040D">
              <w:rPr>
                <w:rFonts w:eastAsiaTheme="minorEastAsia"/>
                <w:b/>
                <w:bCs/>
                <w:i/>
                <w:iCs/>
                <w:lang w:eastAsia="en-ZA"/>
              </w:rPr>
              <w:t>Source</w:t>
            </w:r>
            <w:r w:rsidRPr="0034040D">
              <w:rPr>
                <w:rFonts w:eastAsiaTheme="minorEastAsia"/>
                <w:lang w:eastAsia="en-ZA"/>
              </w:rPr>
              <w:t>: Worldmapper, 2004.</w:t>
            </w:r>
          </w:p>
          <w:tbl>
            <w:tblPr>
              <w:tblW w:w="845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4"/>
              <w:gridCol w:w="7166"/>
            </w:tblGrid>
            <w:tr w:rsidR="00AB7884" w:rsidRPr="0034040D" w:rsidTr="00556CD8">
              <w:trPr>
                <w:trHeight w:val="1104"/>
              </w:trPr>
              <w:tc>
                <w:tcPr>
                  <w:tcW w:w="1282" w:type="dxa"/>
                  <w:tcBorders>
                    <w:top w:val="single" w:sz="4" w:space="0" w:color="auto"/>
                    <w:left w:val="single" w:sz="4" w:space="0" w:color="auto"/>
                    <w:bottom w:val="single" w:sz="4" w:space="0" w:color="auto"/>
                    <w:right w:val="single" w:sz="4" w:space="0" w:color="auto"/>
                  </w:tcBorders>
                </w:tcPr>
                <w:p w:rsidR="00AB7884" w:rsidRPr="0034040D" w:rsidRDefault="00717A10">
                  <w:pPr>
                    <w:spacing w:before="120" w:after="120"/>
                    <w:rPr>
                      <w:rFonts w:ascii="Trebuchet MS" w:eastAsiaTheme="minorEastAsia" w:hAnsi="Trebuchet MS" w:cs="Trebuchet MS"/>
                      <w:b/>
                      <w:bCs/>
                      <w:sz w:val="22"/>
                      <w:szCs w:val="22"/>
                    </w:rPr>
                  </w:pPr>
                  <w:r w:rsidRPr="00717A10">
                    <w:rPr>
                      <w:rFonts w:ascii="Trebuchet MS" w:eastAsiaTheme="minorEastAsia" w:hAnsi="Trebuchet MS" w:cs="Trebuchet MS"/>
                      <w:noProof/>
                      <w:sz w:val="22"/>
                      <w:szCs w:val="22"/>
                      <w:lang w:val="en-ZA" w:eastAsia="en-ZA"/>
                    </w:rPr>
                    <w:pict>
                      <v:shape id="_x0000_i1076" type="#_x0000_t75" style="width:53.25pt;height:59.25pt;visibility:visible">
                        <v:imagedata r:id="rId13" o:title=""/>
                      </v:shape>
                    </w:pict>
                  </w:r>
                </w:p>
              </w:tc>
              <w:tc>
                <w:tcPr>
                  <w:tcW w:w="7168" w:type="dxa"/>
                  <w:tcBorders>
                    <w:top w:val="single" w:sz="4" w:space="0" w:color="auto"/>
                    <w:left w:val="single" w:sz="4" w:space="0" w:color="auto"/>
                    <w:bottom w:val="single" w:sz="4" w:space="0" w:color="auto"/>
                    <w:right w:val="single" w:sz="4" w:space="0" w:color="auto"/>
                  </w:tcBorders>
                </w:tcPr>
                <w:p w:rsidR="00AB7884" w:rsidRPr="0034040D" w:rsidRDefault="00AB7884">
                  <w:pPr>
                    <w:pStyle w:val="Foote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Internet Resource</w:t>
                  </w:r>
                </w:p>
                <w:p w:rsidR="00AB7884" w:rsidRPr="0034040D" w:rsidRDefault="00AB7884">
                  <w:pPr>
                    <w:spacing w:before="150" w:after="120"/>
                    <w:rPr>
                      <w:rFonts w:ascii="Trebuchet MS" w:eastAsiaTheme="minorEastAsia" w:hAnsi="Trebuchet MS" w:cs="Trebuchet MS"/>
                      <w:sz w:val="22"/>
                      <w:szCs w:val="22"/>
                    </w:rPr>
                  </w:pPr>
                  <w:r w:rsidRPr="0034040D">
                    <w:rPr>
                      <w:rFonts w:ascii="Trebuchet MS" w:eastAsiaTheme="minorEastAsia" w:hAnsi="Trebuchet MS" w:cs="Trebuchet MS"/>
                      <w:sz w:val="22"/>
                      <w:szCs w:val="22"/>
                    </w:rPr>
                    <w:t>For a full-colour version of the above map, see</w:t>
                  </w:r>
                  <w:r w:rsidRPr="00556CD8">
                    <w:rPr>
                      <w:rFonts w:ascii="Trebuchet MS" w:eastAsiaTheme="minorEastAsia" w:hAnsi="Trebuchet MS" w:cs="Trebuchet MS"/>
                      <w:sz w:val="22"/>
                      <w:szCs w:val="22"/>
                    </w:rPr>
                    <w:t xml:space="preserve">: </w:t>
                  </w:r>
                  <w:hyperlink r:id="rId86" w:history="1">
                    <w:r w:rsidRPr="00556CD8">
                      <w:rPr>
                        <w:rStyle w:val="Hyperlink"/>
                        <w:rFonts w:ascii="Trebuchet MS" w:eastAsiaTheme="minorEastAsia" w:hAnsi="Trebuchet MS" w:cs="Trebuchet MS"/>
                        <w:sz w:val="22"/>
                        <w:szCs w:val="22"/>
                        <w:u w:val="none"/>
                        <w:lang w:val="en-ZA"/>
                      </w:rPr>
                      <w:t>http://www.worldmapper.org/atozindex.html</w:t>
                    </w:r>
                  </w:hyperlink>
                  <w:r w:rsidRPr="0034040D">
                    <w:rPr>
                      <w:rFonts w:ascii="Trebuchet MS" w:eastAsiaTheme="minorEastAsia" w:hAnsi="Trebuchet MS" w:cs="Trebuchet MS"/>
                      <w:color w:val="171715"/>
                      <w:sz w:val="22"/>
                      <w:szCs w:val="22"/>
                      <w:lang w:val="en-ZA"/>
                    </w:rPr>
                    <w:t>.</w:t>
                  </w:r>
                </w:p>
              </w:tc>
            </w:tr>
          </w:tbl>
          <w:p w:rsidR="00AB7884" w:rsidRPr="0034040D" w:rsidRDefault="00AB7884">
            <w:pPr>
              <w:spacing w:before="240" w:after="120"/>
              <w:rPr>
                <w:rFonts w:ascii="Trebuchet MS" w:eastAsiaTheme="minorEastAsia" w:hAnsi="Trebuchet MS" w:cs="Trebuchet MS"/>
                <w:sz w:val="22"/>
                <w:szCs w:val="22"/>
                <w:lang w:eastAsia="en-ZA"/>
              </w:rPr>
            </w:pPr>
            <w:r w:rsidRPr="0034040D">
              <w:rPr>
                <w:rFonts w:ascii="Trebuchet MS" w:eastAsiaTheme="minorEastAsia" w:hAnsi="Trebuchet MS" w:cs="Trebuchet MS"/>
                <w:sz w:val="22"/>
                <w:szCs w:val="22"/>
                <w:lang w:eastAsia="en-ZA"/>
              </w:rPr>
              <w:t>By the end of 2009, there were an estimated 33,3 million people around the world living with HIV – 30,8 million adults (15,9 million of whom were women); and 2,5 million children.</w:t>
            </w:r>
          </w:p>
          <w:p w:rsidR="00AB7884" w:rsidRPr="0034040D" w:rsidRDefault="00AB7884">
            <w:pPr>
              <w:spacing w:after="120"/>
              <w:rPr>
                <w:rFonts w:eastAsiaTheme="minorEastAsia"/>
                <w:sz w:val="22"/>
                <w:szCs w:val="22"/>
                <w:vertAlign w:val="superscript"/>
              </w:rPr>
            </w:pPr>
            <w:r w:rsidRPr="0034040D">
              <w:rPr>
                <w:rFonts w:ascii="Trebuchet MS" w:eastAsiaTheme="minorEastAsia" w:hAnsi="Trebuchet MS" w:cs="Trebuchet MS"/>
                <w:sz w:val="22"/>
                <w:szCs w:val="22"/>
                <w:lang w:eastAsia="en-ZA"/>
              </w:rPr>
              <w:t>Thirty six per cent (36%) of those in need were receiving ARVs for the first time. AIDS-related mortality had dropped to 1,8 million – about 14,4 million life years had been gained since 1996</w:t>
            </w:r>
            <w:r w:rsidRPr="0034040D">
              <w:rPr>
                <w:rFonts w:ascii="Trebuchet MS" w:eastAsiaTheme="minorEastAsia" w:hAnsi="Trebuchet MS" w:cs="Trebuchet MS"/>
                <w:sz w:val="22"/>
                <w:szCs w:val="22"/>
              </w:rPr>
              <w:t xml:space="preserve">. You can see in Figure 2.3.3 how the </w:t>
            </w:r>
            <w:r w:rsidRPr="0034040D">
              <w:rPr>
                <w:rFonts w:ascii="Trebuchet MS" w:eastAsiaTheme="minorEastAsia" w:hAnsi="Trebuchet MS" w:cs="Trebuchet MS"/>
                <w:sz w:val="22"/>
                <w:szCs w:val="22"/>
                <w:lang w:val="en-ZA"/>
              </w:rPr>
              <w:t xml:space="preserve">number of people living with HIV increases over a 10 year period. This was partly due to new HIV infections globally steadily declining, but also because the number of people living with HIV was increasing because of access to life-sustaining ARVs. </w:t>
            </w:r>
            <w:r w:rsidRPr="0034040D">
              <w:rPr>
                <w:rFonts w:ascii="Trebuchet MS" w:eastAsiaTheme="minorEastAsia" w:hAnsi="Trebuchet MS" w:cs="Trebuchet MS"/>
                <w:b/>
                <w:bCs/>
                <w:sz w:val="22"/>
                <w:szCs w:val="22"/>
                <w:lang w:eastAsia="en-ZA"/>
              </w:rPr>
              <w:br w:type="page"/>
            </w:r>
          </w:p>
        </w:tc>
      </w:tr>
    </w:tbl>
    <w:p w:rsidR="00AB7884" w:rsidRDefault="00AB7884">
      <w:pPr>
        <w:rPr>
          <w:rFonts w:ascii="Times New Roman" w:hAnsi="Times New Roman" w:cs="Times New Roman"/>
        </w:rPr>
      </w:pPr>
      <w:r>
        <w:rPr>
          <w:rFonts w:ascii="Times New Roman" w:hAnsi="Times New Roman" w:cs="Times New Roman"/>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5"/>
      </w:tblGrid>
      <w:tr w:rsidR="00AB7884" w:rsidRPr="0034040D">
        <w:tc>
          <w:tcPr>
            <w:tcW w:w="8715" w:type="dxa"/>
            <w:shd w:val="clear" w:color="auto" w:fill="F2F2F2"/>
          </w:tcPr>
          <w:p w:rsidR="00AB7884" w:rsidRPr="0034040D" w:rsidRDefault="00AB7884">
            <w:pPr>
              <w:spacing w:before="120" w:after="120"/>
              <w:rPr>
                <w:rFonts w:ascii="Trebuchet MS" w:eastAsiaTheme="minorEastAsia" w:hAnsi="Trebuchet MS" w:cs="Trebuchet MS"/>
                <w:sz w:val="22"/>
                <w:szCs w:val="22"/>
                <w:lang w:eastAsia="en-ZA"/>
              </w:rPr>
            </w:pPr>
            <w:r w:rsidRPr="0034040D">
              <w:rPr>
                <w:rFonts w:ascii="Trebuchet MS" w:eastAsiaTheme="minorEastAsia" w:hAnsi="Trebuchet MS" w:cs="Trebuchet MS"/>
                <w:b/>
                <w:bCs/>
                <w:sz w:val="22"/>
                <w:szCs w:val="22"/>
                <w:lang w:eastAsia="en-ZA"/>
              </w:rPr>
              <w:br w:type="page"/>
            </w:r>
            <w:r w:rsidRPr="0034040D">
              <w:rPr>
                <w:rFonts w:ascii="Times New Roman" w:eastAsiaTheme="minorEastAsia" w:hAnsi="Times New Roman" w:cs="Times New Roman"/>
              </w:rPr>
              <w:br w:type="page"/>
            </w:r>
            <w:r w:rsidRPr="0034040D">
              <w:rPr>
                <w:rFonts w:ascii="Trebuchet MS" w:eastAsiaTheme="minorEastAsia" w:hAnsi="Trebuchet MS" w:cs="Trebuchet MS"/>
                <w:b/>
                <w:bCs/>
                <w:sz w:val="22"/>
                <w:szCs w:val="22"/>
                <w:lang w:val="en-ZA"/>
              </w:rPr>
              <w:br w:type="page"/>
            </w:r>
            <w:r w:rsidRPr="0034040D">
              <w:rPr>
                <w:rFonts w:ascii="Trebuchet MS" w:eastAsiaTheme="minorEastAsia" w:hAnsi="Trebuchet MS" w:cs="Trebuchet MS"/>
                <w:b/>
                <w:bCs/>
                <w:sz w:val="22"/>
                <w:szCs w:val="22"/>
                <w:lang w:eastAsia="en-ZA"/>
              </w:rPr>
              <w:t>Figure 2.3.3 Global number of people living with HIV, by year 1990–2009</w:t>
            </w:r>
          </w:p>
          <w:p w:rsidR="00AB7884" w:rsidRPr="0034040D" w:rsidRDefault="00C42A6B">
            <w:pPr>
              <w:spacing w:before="100" w:beforeAutospacing="1" w:after="100" w:afterAutospacing="1"/>
              <w:jc w:val="center"/>
              <w:rPr>
                <w:rFonts w:ascii="Times New Roman" w:eastAsiaTheme="minorEastAsia" w:hAnsi="Times New Roman" w:cs="Times New Roman"/>
                <w:sz w:val="24"/>
                <w:szCs w:val="24"/>
                <w:lang w:eastAsia="en-ZA"/>
              </w:rPr>
            </w:pPr>
            <w:r w:rsidRPr="00717A10">
              <w:rPr>
                <w:rFonts w:ascii="Times New Roman" w:eastAsiaTheme="minorEastAsia" w:hAnsi="Times New Roman" w:cs="Times New Roman"/>
                <w:noProof/>
                <w:sz w:val="24"/>
                <w:szCs w:val="24"/>
                <w:lang w:val="en-ZA" w:eastAsia="en-ZA"/>
              </w:rPr>
              <w:pict>
                <v:shape id="_x0000_i1077" type="#_x0000_t75" alt="Description: http://www.avert.org/media/content/graphs/GlobalGraph.jpg" style="width:368.25pt;height:213pt;visibility:visible">
                  <v:imagedata r:id="rId87" o:title=""/>
                </v:shape>
              </w:pict>
            </w:r>
          </w:p>
          <w:p w:rsidR="00AB7884" w:rsidRPr="0034040D" w:rsidRDefault="00AB7884">
            <w:pPr>
              <w:tabs>
                <w:tab w:val="left" w:pos="540"/>
              </w:tabs>
              <w:spacing w:before="120" w:after="120"/>
              <w:rPr>
                <w:rFonts w:eastAsiaTheme="minorEastAsia"/>
                <w:lang w:val="en-ZA"/>
              </w:rPr>
            </w:pPr>
            <w:r w:rsidRPr="0034040D">
              <w:rPr>
                <w:rFonts w:eastAsiaTheme="minorEastAsia"/>
                <w:b/>
                <w:bCs/>
                <w:i/>
                <w:iCs/>
                <w:lang w:val="en-ZA"/>
              </w:rPr>
              <w:t>Source</w:t>
            </w:r>
            <w:r w:rsidRPr="0034040D">
              <w:rPr>
                <w:rFonts w:eastAsiaTheme="minorEastAsia"/>
                <w:lang w:val="en-ZA"/>
              </w:rPr>
              <w:t>: Avert, 2011</w:t>
            </w:r>
          </w:p>
          <w:p w:rsidR="00AB7884" w:rsidRPr="0034040D" w:rsidRDefault="00AB7884">
            <w:pPr>
              <w:spacing w:before="100" w:beforeAutospacing="1" w:after="100" w:afterAutospacing="1"/>
              <w:rPr>
                <w:rFonts w:ascii="Trebuchet MS" w:eastAsiaTheme="minorEastAsia" w:hAnsi="Trebuchet MS" w:cs="Trebuchet MS"/>
                <w:sz w:val="22"/>
                <w:szCs w:val="22"/>
              </w:rPr>
            </w:pPr>
            <w:r w:rsidRPr="0034040D">
              <w:rPr>
                <w:rFonts w:ascii="Trebuchet MS" w:eastAsiaTheme="minorEastAsia" w:hAnsi="Trebuchet MS" w:cs="Trebuchet MS"/>
                <w:sz w:val="22"/>
                <w:szCs w:val="22"/>
                <w:lang w:val="en-ZA"/>
              </w:rPr>
              <w:t xml:space="preserve">By 2008, 72% of all new HIV infections were in Sub-Saharan Africa. (See Figure 2.3.4 for the percentage of people </w:t>
            </w:r>
            <w:r w:rsidRPr="0034040D">
              <w:rPr>
                <w:rFonts w:ascii="Trebuchet MS" w:eastAsiaTheme="minorEastAsia" w:hAnsi="Trebuchet MS" w:cs="Trebuchet MS"/>
                <w:sz w:val="22"/>
                <w:szCs w:val="22"/>
              </w:rPr>
              <w:t>living with HIV who were receiving ARVs in 2008 compared with 2005.)</w:t>
            </w:r>
          </w:p>
          <w:p w:rsidR="00AB7884" w:rsidRPr="0034040D" w:rsidRDefault="00AB7884">
            <w:pPr>
              <w:spacing w:before="100" w:beforeAutospacing="1" w:after="100" w:afterAutospacing="1"/>
              <w:rPr>
                <w:rFonts w:ascii="Trebuchet MS" w:eastAsiaTheme="minorEastAsia" w:hAnsi="Trebuchet MS" w:cs="Trebuchet MS"/>
                <w:sz w:val="22"/>
                <w:szCs w:val="22"/>
                <w:lang w:val="en-ZA"/>
              </w:rPr>
            </w:pPr>
            <w:r w:rsidRPr="0034040D">
              <w:rPr>
                <w:rFonts w:ascii="Trebuchet MS" w:eastAsiaTheme="minorEastAsia" w:hAnsi="Trebuchet MS" w:cs="Trebuchet MS"/>
                <w:sz w:val="22"/>
                <w:szCs w:val="22"/>
                <w:lang w:val="en-ZA"/>
              </w:rPr>
              <w:t xml:space="preserve">According to the UNAIDS (2010), between 2001 and 2009, in 33 countries around the world, new HIV infections had fallen by more than 25%. Twenty two of these 33 countries were in Sub-Saharan Africa, which continues to carry the greatest burden of the epidemic. </w:t>
            </w:r>
          </w:p>
          <w:p w:rsidR="00AB7884" w:rsidRPr="0034040D" w:rsidRDefault="00AB7884">
            <w:pPr>
              <w:spacing w:before="100" w:beforeAutospacing="1" w:after="100" w:afterAutospacing="1"/>
              <w:rPr>
                <w:rFonts w:ascii="Trebuchet MS" w:eastAsiaTheme="minorEastAsia" w:hAnsi="Trebuchet MS" w:cs="Trebuchet MS"/>
                <w:sz w:val="22"/>
                <w:szCs w:val="22"/>
              </w:rPr>
            </w:pPr>
            <w:r w:rsidRPr="0034040D">
              <w:rPr>
                <w:rFonts w:ascii="Trebuchet MS" w:eastAsiaTheme="minorEastAsia" w:hAnsi="Trebuchet MS" w:cs="Trebuchet MS"/>
                <w:sz w:val="22"/>
                <w:szCs w:val="22"/>
                <w:lang w:val="en-ZA" w:eastAsia="en-ZA"/>
              </w:rPr>
              <w:t xml:space="preserve">By the end of 2010 there were an estimated 34 million people globally were living with HIV (17% up from 2001), with 68% living in Sub-Saharan Africa.  The increase in global figures includes the 2,7 million new infections, 70% of which were in Sub-Saharan Africa (although according to UNAIDS (2011) there was a decline in the regional rate of new infections). Increased access to ARVs also accounts for the increase in numbers of people living with HIV. </w:t>
            </w:r>
            <w:r w:rsidRPr="0034040D">
              <w:rPr>
                <w:rFonts w:ascii="Trebuchet MS" w:eastAsiaTheme="minorEastAsia" w:hAnsi="Trebuchet MS" w:cs="Trebuchet MS"/>
                <w:color w:val="231F20"/>
                <w:sz w:val="22"/>
                <w:szCs w:val="22"/>
                <w:lang w:val="en-ZA"/>
              </w:rPr>
              <w:t xml:space="preserve">ARV coverage rose by 20% in Sub-Saharan Africa between 2009 and 2010. </w:t>
            </w:r>
          </w:p>
          <w:p w:rsidR="00AB7884" w:rsidRPr="0034040D" w:rsidRDefault="00AB7884">
            <w:pPr>
              <w:pStyle w:val="Heading1"/>
              <w:rPr>
                <w:rFonts w:ascii="Trebuchet MS" w:eastAsiaTheme="minorEastAsia" w:hAnsi="Trebuchet MS" w:cs="Trebuchet MS"/>
                <w:b w:val="0"/>
                <w:bCs w:val="0"/>
                <w:sz w:val="22"/>
                <w:szCs w:val="22"/>
              </w:rPr>
            </w:pPr>
            <w:r w:rsidRPr="0034040D">
              <w:rPr>
                <w:rFonts w:ascii="Trebuchet MS" w:eastAsiaTheme="minorEastAsia" w:hAnsi="Trebuchet MS" w:cs="Trebuchet MS"/>
                <w:b w:val="0"/>
                <w:bCs w:val="0"/>
                <w:sz w:val="22"/>
                <w:szCs w:val="22"/>
              </w:rPr>
              <w:t>Almost 50% of people who were eligible for treatment were able to access ARVs by the end of 2011, including 47% (6,6 million) of the estimated 14,2 million people eligible for treatment in LMICs. This was an increase of 1,35 million since 2009 (UNAIDS, 2011).</w:t>
            </w:r>
          </w:p>
          <w:p w:rsidR="00AB7884" w:rsidRPr="0034040D" w:rsidRDefault="00AB7884">
            <w:pPr>
              <w:spacing w:before="240" w:after="120"/>
              <w:rPr>
                <w:rFonts w:eastAsiaTheme="minorEastAsia"/>
                <w:sz w:val="22"/>
                <w:szCs w:val="22"/>
                <w:vertAlign w:val="superscript"/>
              </w:rPr>
            </w:pPr>
          </w:p>
        </w:tc>
      </w:tr>
    </w:tbl>
    <w:p w:rsidR="00AB7884" w:rsidRDefault="00AB7884">
      <w:pPr>
        <w:rPr>
          <w:rFonts w:ascii="Times New Roman" w:hAnsi="Times New Roman" w:cs="Times New Roman"/>
        </w:rPr>
      </w:pPr>
      <w:r>
        <w:rPr>
          <w:rFonts w:ascii="Times New Roman" w:hAnsi="Times New Roman" w:cs="Times New Roman"/>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1"/>
      </w:tblGrid>
      <w:tr w:rsidR="00AB7884" w:rsidRPr="0034040D">
        <w:trPr>
          <w:trHeight w:val="10538"/>
        </w:trPr>
        <w:tc>
          <w:tcPr>
            <w:tcW w:w="8521" w:type="dxa"/>
            <w:shd w:val="clear" w:color="auto" w:fill="F2F2F2"/>
          </w:tcPr>
          <w:p w:rsidR="00AB7884" w:rsidRPr="0034040D" w:rsidRDefault="00AB7884">
            <w:pPr>
              <w:spacing w:before="240" w:after="120"/>
              <w:rPr>
                <w:rFonts w:eastAsiaTheme="minorEastAsia"/>
                <w:b/>
                <w:bCs/>
                <w:sz w:val="22"/>
                <w:szCs w:val="22"/>
              </w:rPr>
            </w:pPr>
            <w:r w:rsidRPr="0034040D">
              <w:rPr>
                <w:rFonts w:ascii="Trebuchet MS" w:eastAsiaTheme="minorEastAsia" w:hAnsi="Trebuchet MS" w:cs="Trebuchet MS"/>
                <w:b/>
                <w:bCs/>
                <w:sz w:val="22"/>
                <w:szCs w:val="22"/>
              </w:rPr>
              <w:br w:type="page"/>
            </w:r>
            <w:r w:rsidRPr="0034040D">
              <w:rPr>
                <w:rFonts w:ascii="Trebuchet MS" w:eastAsiaTheme="minorEastAsia" w:hAnsi="Trebuchet MS" w:cs="Trebuchet MS"/>
                <w:b/>
                <w:bCs/>
                <w:sz w:val="22"/>
                <w:szCs w:val="22"/>
                <w:lang w:eastAsia="en-ZA"/>
              </w:rPr>
              <w:br w:type="page"/>
            </w:r>
            <w:r w:rsidRPr="0034040D">
              <w:rPr>
                <w:rFonts w:ascii="Times New Roman" w:eastAsiaTheme="minorEastAsia" w:hAnsi="Times New Roman" w:cs="Times New Roman"/>
              </w:rPr>
              <w:br w:type="page"/>
            </w:r>
            <w:r w:rsidRPr="0034040D">
              <w:rPr>
                <w:rFonts w:ascii="Trebuchet MS" w:eastAsiaTheme="minorEastAsia" w:hAnsi="Trebuchet MS" w:cs="Trebuchet MS"/>
                <w:b/>
                <w:bCs/>
                <w:sz w:val="22"/>
                <w:szCs w:val="22"/>
                <w:lang w:val="en-ZA"/>
              </w:rPr>
              <w:br w:type="page"/>
            </w:r>
            <w:r w:rsidRPr="0034040D">
              <w:rPr>
                <w:rFonts w:eastAsiaTheme="minorEastAsia"/>
                <w:sz w:val="22"/>
                <w:szCs w:val="22"/>
                <w:vertAlign w:val="superscript"/>
              </w:rPr>
              <w:t xml:space="preserve"> </w:t>
            </w:r>
            <w:r w:rsidRPr="0034040D">
              <w:rPr>
                <w:rFonts w:ascii="Trebuchet MS" w:eastAsiaTheme="minorEastAsia" w:hAnsi="Trebuchet MS" w:cs="Trebuchet MS"/>
                <w:b/>
                <w:bCs/>
                <w:sz w:val="22"/>
                <w:szCs w:val="22"/>
              </w:rPr>
              <w:t>Figure 2.3.4 Population living with HIV receiving ARVs, 2005 and 2008</w:t>
            </w:r>
            <w:r w:rsidRPr="0034040D">
              <w:rPr>
                <w:rFonts w:eastAsiaTheme="minorEastAsia"/>
                <w:b/>
                <w:bCs/>
                <w:sz w:val="22"/>
                <w:szCs w:val="22"/>
              </w:rPr>
              <w:t xml:space="preserve"> (percentage)</w:t>
            </w:r>
          </w:p>
          <w:p w:rsidR="00AB7884" w:rsidRPr="0034040D" w:rsidRDefault="00C42A6B">
            <w:pPr>
              <w:spacing w:before="120" w:after="120"/>
              <w:jc w:val="center"/>
              <w:rPr>
                <w:rFonts w:eastAsiaTheme="minorEastAsia"/>
                <w:b/>
                <w:bCs/>
                <w:sz w:val="22"/>
                <w:szCs w:val="22"/>
              </w:rPr>
            </w:pPr>
            <w:r w:rsidRPr="00717A10">
              <w:rPr>
                <w:rFonts w:ascii="Times New Roman" w:eastAsiaTheme="minorEastAsia" w:hAnsi="Times New Roman" w:cs="Times New Roman"/>
                <w:noProof/>
                <w:lang w:val="en-ZA" w:eastAsia="en-ZA"/>
              </w:rPr>
              <w:pict>
                <v:shape id="_x0000_i1078" type="#_x0000_t75" style="width:302.25pt;height:384pt;visibility:visible">
                  <v:imagedata r:id="rId88" o:title="" croptop="5367f"/>
                </v:shape>
              </w:pict>
            </w:r>
          </w:p>
          <w:p w:rsidR="00AB7884" w:rsidRPr="0034040D" w:rsidRDefault="00AB7884">
            <w:pPr>
              <w:autoSpaceDE w:val="0"/>
              <w:autoSpaceDN w:val="0"/>
              <w:adjustRightInd w:val="0"/>
              <w:spacing w:before="120" w:after="120"/>
              <w:rPr>
                <w:rFonts w:eastAsiaTheme="minorEastAsia"/>
                <w:lang w:val="en-ZA"/>
              </w:rPr>
            </w:pPr>
            <w:r w:rsidRPr="0034040D">
              <w:rPr>
                <w:rFonts w:eastAsiaTheme="minorEastAsia"/>
                <w:b/>
                <w:bCs/>
                <w:i/>
                <w:iCs/>
                <w:lang w:val="en-ZA"/>
              </w:rPr>
              <w:t>Source</w:t>
            </w:r>
            <w:r w:rsidRPr="0034040D">
              <w:rPr>
                <w:rFonts w:eastAsiaTheme="minorEastAsia"/>
                <w:lang w:val="en-ZA"/>
              </w:rPr>
              <w:t>: The Millennium Development Goals Report 2010, UN</w:t>
            </w:r>
          </w:p>
          <w:p w:rsidR="00AB7884" w:rsidRPr="0034040D" w:rsidRDefault="00AB7884">
            <w:pPr>
              <w:tabs>
                <w:tab w:val="left" w:pos="1005"/>
              </w:tabs>
              <w:autoSpaceDE w:val="0"/>
              <w:autoSpaceDN w:val="0"/>
              <w:adjustRightInd w:val="0"/>
              <w:spacing w:before="24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 xml:space="preserve">How did access to ARV treatment grow 13-fold since 2004? </w:t>
            </w:r>
          </w:p>
          <w:p w:rsidR="00AB7884" w:rsidRPr="0034040D" w:rsidRDefault="00AB7884">
            <w:pPr>
              <w:tabs>
                <w:tab w:val="left" w:pos="1005"/>
              </w:tabs>
              <w:autoSpaceDE w:val="0"/>
              <w:autoSpaceDN w:val="0"/>
              <w:adjustRightInd w:val="0"/>
              <w:rPr>
                <w:rFonts w:eastAsiaTheme="minorEastAsia"/>
                <w:sz w:val="22"/>
                <w:szCs w:val="22"/>
                <w:lang w:eastAsia="en-ZA"/>
              </w:rPr>
            </w:pPr>
            <w:r w:rsidRPr="0034040D">
              <w:rPr>
                <w:rFonts w:ascii="Trebuchet MS" w:eastAsiaTheme="minorEastAsia" w:hAnsi="Trebuchet MS" w:cs="Trebuchet MS"/>
                <w:sz w:val="22"/>
                <w:szCs w:val="22"/>
              </w:rPr>
              <w:t xml:space="preserve">India is the largest supplier of low cost generic ARVs to LMICs. </w:t>
            </w:r>
            <w:r w:rsidRPr="0034040D">
              <w:rPr>
                <w:rFonts w:ascii="Trebuchet MS" w:eastAsiaTheme="minorEastAsia" w:hAnsi="Trebuchet MS" w:cs="Trebuchet MS"/>
                <w:sz w:val="22"/>
                <w:szCs w:val="22"/>
                <w:lang w:eastAsia="en-ZA"/>
              </w:rPr>
              <w:t>The graph in Figure 2.3.5 shows the effect that this generic competition had on ARV drug prices per patient per year, between 2000 and 2001.</w:t>
            </w:r>
            <w:r w:rsidRPr="0034040D">
              <w:rPr>
                <w:rFonts w:eastAsiaTheme="minorEastAsia"/>
                <w:sz w:val="22"/>
                <w:szCs w:val="22"/>
                <w:lang w:eastAsia="en-ZA"/>
              </w:rPr>
              <w:t xml:space="preserve"> </w:t>
            </w:r>
          </w:p>
          <w:p w:rsidR="00AB7884" w:rsidRPr="0034040D" w:rsidRDefault="00AB7884">
            <w:pPr>
              <w:tabs>
                <w:tab w:val="left" w:pos="1005"/>
              </w:tabs>
              <w:autoSpaceDE w:val="0"/>
              <w:autoSpaceDN w:val="0"/>
              <w:adjustRightInd w:val="0"/>
              <w:rPr>
                <w:rFonts w:eastAsiaTheme="minorEastAsia"/>
                <w:sz w:val="22"/>
                <w:szCs w:val="22"/>
                <w:lang w:eastAsia="en-ZA"/>
              </w:rPr>
            </w:pPr>
          </w:p>
          <w:p w:rsidR="00AB7884" w:rsidRPr="0034040D" w:rsidRDefault="00AB7884">
            <w:pPr>
              <w:spacing w:before="120" w:after="120"/>
              <w:rPr>
                <w:rFonts w:eastAsiaTheme="minorEastAsia"/>
                <w:sz w:val="22"/>
                <w:szCs w:val="22"/>
                <w:vertAlign w:val="superscript"/>
              </w:rPr>
            </w:pPr>
          </w:p>
        </w:tc>
      </w:tr>
    </w:tbl>
    <w:p w:rsidR="00AB7884" w:rsidRDefault="00AB7884">
      <w:pPr>
        <w:pStyle w:val="Footer"/>
        <w:tabs>
          <w:tab w:val="clear" w:pos="4320"/>
          <w:tab w:val="clear" w:pos="8640"/>
        </w:tabs>
        <w:rPr>
          <w:rFonts w:ascii="Times New Roman" w:hAnsi="Times New Roman" w:cs="Times New Roman"/>
          <w:lang w:val="en-GB"/>
        </w:rPr>
      </w:pPr>
      <w:r>
        <w:rPr>
          <w:rFonts w:ascii="Times New Roman" w:hAnsi="Times New Roman" w:cs="Times New Roman"/>
          <w:lang w:val="en-GB"/>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1"/>
      </w:tblGrid>
      <w:tr w:rsidR="00AB7884" w:rsidRPr="0034040D">
        <w:tc>
          <w:tcPr>
            <w:tcW w:w="8521" w:type="dxa"/>
            <w:shd w:val="clear" w:color="auto" w:fill="F2F2F2"/>
          </w:tcPr>
          <w:p w:rsidR="00AB7884" w:rsidRPr="0034040D" w:rsidRDefault="00AB7884">
            <w:pPr>
              <w:spacing w:before="240" w:after="120"/>
              <w:rPr>
                <w:rFonts w:ascii="Trebuchet MS" w:eastAsiaTheme="minorEastAsia" w:hAnsi="Trebuchet MS" w:cs="Trebuchet MS"/>
                <w:b/>
                <w:bCs/>
                <w:sz w:val="22"/>
                <w:szCs w:val="22"/>
                <w:lang w:eastAsia="en-ZA"/>
              </w:rPr>
            </w:pPr>
            <w:r w:rsidRPr="0034040D">
              <w:rPr>
                <w:rFonts w:ascii="Trebuchet MS" w:eastAsiaTheme="minorEastAsia" w:hAnsi="Trebuchet MS" w:cs="Trebuchet MS"/>
                <w:b/>
                <w:bCs/>
                <w:sz w:val="22"/>
                <w:szCs w:val="22"/>
                <w:lang w:eastAsia="en-ZA"/>
              </w:rPr>
              <w:br w:type="page"/>
            </w:r>
            <w:r w:rsidRPr="0034040D">
              <w:rPr>
                <w:rFonts w:ascii="Times New Roman" w:eastAsiaTheme="minorEastAsia" w:hAnsi="Times New Roman" w:cs="Times New Roman"/>
              </w:rPr>
              <w:br w:type="page"/>
            </w:r>
            <w:r w:rsidRPr="0034040D">
              <w:rPr>
                <w:rFonts w:ascii="Trebuchet MS" w:eastAsiaTheme="minorEastAsia" w:hAnsi="Trebuchet MS" w:cs="Trebuchet MS"/>
                <w:b/>
                <w:bCs/>
                <w:sz w:val="22"/>
                <w:szCs w:val="22"/>
                <w:lang w:eastAsia="en-ZA"/>
              </w:rPr>
              <w:t>Figure 2.3.5 Drug prices of triple combination ARV’s, per patient, per year 2000–2001</w:t>
            </w:r>
          </w:p>
          <w:p w:rsidR="00AB7884" w:rsidRPr="0034040D" w:rsidRDefault="00C42A6B">
            <w:pPr>
              <w:tabs>
                <w:tab w:val="left" w:pos="540"/>
              </w:tabs>
              <w:jc w:val="center"/>
              <w:rPr>
                <w:rFonts w:ascii="Trebuchet MS" w:eastAsiaTheme="minorEastAsia" w:hAnsi="Trebuchet MS" w:cs="Trebuchet MS"/>
                <w:b/>
                <w:bCs/>
                <w:sz w:val="28"/>
                <w:szCs w:val="28"/>
              </w:rPr>
            </w:pPr>
            <w:r w:rsidRPr="00717A10">
              <w:rPr>
                <w:rFonts w:ascii="Times New Roman" w:eastAsiaTheme="minorEastAsia" w:hAnsi="Times New Roman" w:cs="Times New Roman"/>
                <w:noProof/>
                <w:sz w:val="24"/>
                <w:szCs w:val="24"/>
                <w:lang w:val="en-ZA" w:eastAsia="en-ZA"/>
              </w:rPr>
              <w:pict>
                <v:shape id="_x0000_i1079" type="#_x0000_t75" alt="Description: graph showing effect of generic drug competition " style="width:341.25pt;height:189pt;visibility:visible">
                  <v:imagedata r:id="rId89" o:title=""/>
                </v:shape>
              </w:pict>
            </w:r>
          </w:p>
          <w:p w:rsidR="00AB7884" w:rsidRPr="0034040D" w:rsidRDefault="00AB7884">
            <w:pPr>
              <w:spacing w:before="120" w:after="120"/>
              <w:rPr>
                <w:rFonts w:eastAsiaTheme="minorEastAsia"/>
                <w:lang w:val="en-ZA" w:eastAsia="en-ZA"/>
              </w:rPr>
            </w:pPr>
            <w:r w:rsidRPr="0034040D">
              <w:rPr>
                <w:rFonts w:eastAsiaTheme="minorEastAsia"/>
                <w:b/>
                <w:bCs/>
                <w:i/>
                <w:iCs/>
                <w:lang w:eastAsia="en-ZA"/>
              </w:rPr>
              <w:t>Source</w:t>
            </w:r>
            <w:r w:rsidRPr="0034040D">
              <w:rPr>
                <w:rFonts w:eastAsiaTheme="minorEastAsia"/>
                <w:lang w:eastAsia="en-ZA"/>
              </w:rPr>
              <w:t xml:space="preserve">: Médecins Sans Frontières. (2001). </w:t>
            </w:r>
          </w:p>
          <w:p w:rsidR="00AB7884" w:rsidRPr="0034040D" w:rsidRDefault="00AB7884">
            <w:pPr>
              <w:spacing w:before="120" w:after="120"/>
              <w:rPr>
                <w:rFonts w:ascii="Trebuchet MS" w:eastAsiaTheme="minorEastAsia" w:hAnsi="Trebuchet MS" w:cs="Trebuchet MS"/>
                <w:sz w:val="22"/>
                <w:szCs w:val="22"/>
                <w:lang w:eastAsia="en-ZA"/>
              </w:rPr>
            </w:pPr>
            <w:r w:rsidRPr="0034040D">
              <w:rPr>
                <w:rFonts w:ascii="Trebuchet MS" w:eastAsiaTheme="minorEastAsia" w:hAnsi="Trebuchet MS" w:cs="Trebuchet MS"/>
                <w:sz w:val="22"/>
                <w:szCs w:val="22"/>
                <w:lang w:eastAsia="en-ZA"/>
              </w:rPr>
              <w:t xml:space="preserve">In May 2000, branded ARVs cost US$10 439 per patient per year. By August 2001 the cost had fallen to US$712. Generics however were still cheaper, with the lowest price in 2001 being US$295. In other words, not only is most treatment now done with generics, but the competition they present has also brought down the price of branded drugs. </w:t>
            </w:r>
          </w:p>
          <w:p w:rsidR="00AB7884" w:rsidRPr="0034040D" w:rsidRDefault="00AB7884">
            <w:pPr>
              <w:pStyle w:val="authors"/>
              <w:rPr>
                <w:rFonts w:ascii="Trebuchet MS" w:eastAsiaTheme="minorEastAsia" w:hAnsi="Trebuchet MS" w:cs="Trebuchet MS"/>
                <w:sz w:val="22"/>
                <w:szCs w:val="22"/>
              </w:rPr>
            </w:pPr>
            <w:r w:rsidRPr="0034040D">
              <w:rPr>
                <w:rFonts w:ascii="Trebuchet MS" w:eastAsiaTheme="minorEastAsia" w:hAnsi="Trebuchet MS" w:cs="Trebuchet MS"/>
                <w:sz w:val="22"/>
                <w:szCs w:val="22"/>
              </w:rPr>
              <w:t>A study undertaken by Chien (2007) between 2004 and 2006, compared brand and generic supply of AIDS drugs for Sub-Saharan Africa. The following was evident:</w:t>
            </w:r>
          </w:p>
          <w:p w:rsidR="00AB7884" w:rsidRPr="0034040D" w:rsidRDefault="00AB7884" w:rsidP="007F44B4">
            <w:pPr>
              <w:pStyle w:val="authors"/>
              <w:numPr>
                <w:ilvl w:val="0"/>
                <w:numId w:val="44"/>
              </w:numPr>
              <w:rPr>
                <w:rFonts w:ascii="Trebuchet MS" w:eastAsiaTheme="minorEastAsia" w:hAnsi="Trebuchet MS" w:cs="Trebuchet MS"/>
                <w:sz w:val="22"/>
                <w:szCs w:val="22"/>
              </w:rPr>
            </w:pPr>
            <w:r w:rsidRPr="0034040D">
              <w:rPr>
                <w:rFonts w:ascii="Trebuchet MS" w:eastAsiaTheme="minorEastAsia" w:hAnsi="Trebuchet MS" w:cs="Trebuchet MS"/>
                <w:sz w:val="22"/>
                <w:szCs w:val="22"/>
              </w:rPr>
              <w:t xml:space="preserve">AIDS drugs for Sub-Saharan Africa were being procured from both generic and brand companies. Different ways of procuring the drugs were used. </w:t>
            </w:r>
          </w:p>
          <w:p w:rsidR="00AB7884" w:rsidRPr="0034040D" w:rsidRDefault="00AB7884" w:rsidP="007F44B4">
            <w:pPr>
              <w:pStyle w:val="authors"/>
              <w:numPr>
                <w:ilvl w:val="0"/>
                <w:numId w:val="44"/>
              </w:numPr>
              <w:rPr>
                <w:rFonts w:ascii="Trebuchet MS" w:eastAsiaTheme="minorEastAsia" w:hAnsi="Trebuchet MS" w:cs="Trebuchet MS"/>
                <w:sz w:val="22"/>
                <w:szCs w:val="22"/>
              </w:rPr>
            </w:pPr>
            <w:r w:rsidRPr="0034040D">
              <w:rPr>
                <w:rFonts w:ascii="Trebuchet MS" w:eastAsiaTheme="minorEastAsia" w:hAnsi="Trebuchet MS" w:cs="Trebuchet MS"/>
                <w:sz w:val="22"/>
                <w:szCs w:val="22"/>
              </w:rPr>
              <w:t>Of all the AIDS drugs needed, 96% were first line AIDS drugs, which were provided mostly by generic companies. The remaining 4% of the total AIDS drug need were for second line drugs which were provided mainly by brand companies.</w:t>
            </w:r>
          </w:p>
          <w:p w:rsidR="00AB7884" w:rsidRPr="0034040D" w:rsidRDefault="00AB7884" w:rsidP="007F44B4">
            <w:pPr>
              <w:pStyle w:val="authors"/>
              <w:numPr>
                <w:ilvl w:val="0"/>
                <w:numId w:val="44"/>
              </w:numPr>
              <w:rPr>
                <w:rFonts w:ascii="Trebuchet MS" w:eastAsiaTheme="minorEastAsia" w:hAnsi="Trebuchet MS" w:cs="Trebuchet MS"/>
                <w:sz w:val="22"/>
                <w:szCs w:val="22"/>
              </w:rPr>
            </w:pPr>
            <w:r w:rsidRPr="0034040D">
              <w:rPr>
                <w:rFonts w:ascii="Trebuchet MS" w:eastAsiaTheme="minorEastAsia" w:hAnsi="Trebuchet MS" w:cs="Trebuchet MS"/>
                <w:sz w:val="22"/>
                <w:szCs w:val="22"/>
              </w:rPr>
              <w:t xml:space="preserve">Of the first line drugs, 63% were supplied by generic companies, at prices that were on average a third of the prices charged by brand companies. Generally these were older drugs which were ineligible for patent protection. </w:t>
            </w:r>
          </w:p>
          <w:p w:rsidR="00AB7884" w:rsidRPr="0034040D" w:rsidRDefault="00AB7884" w:rsidP="007F44B4">
            <w:pPr>
              <w:pStyle w:val="authors"/>
              <w:numPr>
                <w:ilvl w:val="0"/>
                <w:numId w:val="44"/>
              </w:numPr>
              <w:rPr>
                <w:rFonts w:ascii="Trebuchet MS" w:eastAsiaTheme="minorEastAsia" w:hAnsi="Trebuchet MS" w:cs="Trebuchet MS"/>
                <w:sz w:val="22"/>
                <w:szCs w:val="22"/>
              </w:rPr>
            </w:pPr>
            <w:r w:rsidRPr="0034040D">
              <w:rPr>
                <w:rFonts w:ascii="Trebuchet MS" w:eastAsiaTheme="minorEastAsia" w:hAnsi="Trebuchet MS" w:cs="Trebuchet MS"/>
                <w:sz w:val="22"/>
                <w:szCs w:val="22"/>
              </w:rPr>
              <w:t xml:space="preserve">15% of the first line drugs were manufactured in South Africa, mostly under voluntary licenses provided by brand companies to one generic South African company. </w:t>
            </w:r>
          </w:p>
          <w:p w:rsidR="00AB7884" w:rsidRPr="0034040D" w:rsidRDefault="00AB7884" w:rsidP="007F44B4">
            <w:pPr>
              <w:pStyle w:val="authors"/>
              <w:numPr>
                <w:ilvl w:val="0"/>
                <w:numId w:val="44"/>
              </w:numPr>
              <w:rPr>
                <w:rFonts w:ascii="Trebuchet MS" w:eastAsiaTheme="minorEastAsia" w:hAnsi="Trebuchet MS" w:cs="Trebuchet MS"/>
                <w:sz w:val="22"/>
                <w:szCs w:val="22"/>
              </w:rPr>
            </w:pPr>
            <w:r w:rsidRPr="0034040D">
              <w:rPr>
                <w:rFonts w:ascii="Trebuchet MS" w:eastAsiaTheme="minorEastAsia" w:hAnsi="Trebuchet MS" w:cs="Trebuchet MS"/>
                <w:sz w:val="22"/>
                <w:szCs w:val="22"/>
              </w:rPr>
              <w:t>Four of these first line AIDS drugs which were being produced by generic companies were widely patented by brand companies. However these companies were not enforcing the patents.</w:t>
            </w:r>
          </w:p>
          <w:p w:rsidR="00AB7884" w:rsidRPr="0034040D" w:rsidRDefault="00AB7884" w:rsidP="007F44B4">
            <w:pPr>
              <w:pStyle w:val="authors"/>
              <w:numPr>
                <w:ilvl w:val="0"/>
                <w:numId w:val="44"/>
              </w:numPr>
              <w:spacing w:before="240" w:after="120"/>
              <w:rPr>
                <w:rFonts w:ascii="Trebuchet MS" w:eastAsiaTheme="minorEastAsia" w:hAnsi="Trebuchet MS" w:cs="Trebuchet MS"/>
                <w:sz w:val="22"/>
                <w:szCs w:val="22"/>
              </w:rPr>
            </w:pPr>
            <w:r w:rsidRPr="0034040D">
              <w:rPr>
                <w:rFonts w:ascii="Trebuchet MS" w:eastAsiaTheme="minorEastAsia" w:hAnsi="Trebuchet MS" w:cs="Trebuchet MS"/>
                <w:sz w:val="22"/>
                <w:szCs w:val="22"/>
              </w:rPr>
              <w:t>It is important to investigate further how price reductions of second line AIDS drugs can be achieved.</w:t>
            </w:r>
          </w:p>
          <w:p w:rsidR="00AB7884" w:rsidRPr="0034040D" w:rsidRDefault="00AB7884">
            <w:pPr>
              <w:pStyle w:val="BodyText"/>
              <w:autoSpaceDE w:val="0"/>
              <w:autoSpaceDN w:val="0"/>
              <w:adjustRightInd w:val="0"/>
              <w:spacing w:before="120"/>
              <w:rPr>
                <w:rFonts w:eastAsiaTheme="minorEastAsia"/>
                <w:lang w:val="en-GB" w:eastAsia="en-US"/>
              </w:rPr>
            </w:pPr>
            <w:r w:rsidRPr="0034040D">
              <w:rPr>
                <w:rFonts w:eastAsiaTheme="minorEastAsia"/>
                <w:lang w:val="en-GB" w:eastAsia="en-US"/>
              </w:rPr>
              <w:t>The study concluded that each of the procurement options has its own limitations:</w:t>
            </w:r>
          </w:p>
          <w:p w:rsidR="00AB7884" w:rsidRPr="0034040D" w:rsidRDefault="00AB7884">
            <w:pPr>
              <w:autoSpaceDE w:val="0"/>
              <w:autoSpaceDN w:val="0"/>
              <w:adjustRightInd w:val="0"/>
              <w:rPr>
                <w:rFonts w:eastAsiaTheme="minorEastAsia"/>
                <w:sz w:val="22"/>
                <w:szCs w:val="22"/>
              </w:rPr>
            </w:pPr>
          </w:p>
          <w:p w:rsidR="00AB7884" w:rsidRPr="0034040D" w:rsidRDefault="00AB7884">
            <w:pPr>
              <w:autoSpaceDE w:val="0"/>
              <w:autoSpaceDN w:val="0"/>
              <w:adjustRightInd w:val="0"/>
              <w:ind w:left="720"/>
              <w:rPr>
                <w:rFonts w:ascii="Trebuchet MS" w:eastAsiaTheme="minorEastAsia" w:hAnsi="Trebuchet MS" w:cs="Trebuchet MS"/>
                <w:i/>
                <w:iCs/>
                <w:sz w:val="22"/>
                <w:szCs w:val="22"/>
              </w:rPr>
            </w:pPr>
          </w:p>
          <w:p w:rsidR="00AB7884" w:rsidRPr="0034040D" w:rsidRDefault="00AB7884">
            <w:pPr>
              <w:autoSpaceDE w:val="0"/>
              <w:autoSpaceDN w:val="0"/>
              <w:adjustRightInd w:val="0"/>
              <w:ind w:left="720"/>
              <w:rPr>
                <w:rFonts w:ascii="Trebuchet MS" w:eastAsiaTheme="minorEastAsia" w:hAnsi="Trebuchet MS" w:cs="Trebuchet MS"/>
                <w:i/>
                <w:iCs/>
                <w:sz w:val="22"/>
                <w:szCs w:val="22"/>
              </w:rPr>
            </w:pPr>
          </w:p>
          <w:p w:rsidR="00AB7884" w:rsidRPr="0034040D" w:rsidRDefault="00AB7884">
            <w:pPr>
              <w:autoSpaceDE w:val="0"/>
              <w:autoSpaceDN w:val="0"/>
              <w:adjustRightInd w:val="0"/>
              <w:ind w:left="720"/>
              <w:rPr>
                <w:rFonts w:ascii="Trebuchet MS" w:eastAsiaTheme="minorEastAsia" w:hAnsi="Trebuchet MS" w:cs="Trebuchet MS"/>
                <w:i/>
                <w:iCs/>
                <w:sz w:val="22"/>
                <w:szCs w:val="22"/>
              </w:rPr>
            </w:pPr>
            <w:r w:rsidRPr="0034040D">
              <w:rPr>
                <w:rFonts w:ascii="Trebuchet MS" w:eastAsiaTheme="minorEastAsia" w:hAnsi="Trebuchet MS" w:cs="Trebuchet MS"/>
                <w:i/>
                <w:iCs/>
                <w:sz w:val="22"/>
                <w:szCs w:val="22"/>
              </w:rPr>
              <w:t>“…</w:t>
            </w:r>
            <w:r w:rsidRPr="0034040D">
              <w:rPr>
                <w:rFonts w:ascii="Trebuchet MS" w:eastAsiaTheme="minorEastAsia" w:hAnsi="Trebuchet MS" w:cs="Trebuchet MS"/>
                <w:i/>
                <w:iCs/>
                <w:sz w:val="22"/>
                <w:szCs w:val="22"/>
                <w:lang w:val="en-ZA" w:eastAsia="en-ZA"/>
              </w:rPr>
              <w:t>newer drugs are subject to patent protection in India and other supplier countries, voluntary licenses only account for a small fraction of the current procurement, and non-enforcement policies are available only at the discretion of brand companies and have been implemented selectively, excluding middle-income South Africa”</w:t>
            </w:r>
            <w:r w:rsidRPr="0034040D">
              <w:rPr>
                <w:rFonts w:ascii="Trebuchet MS" w:eastAsiaTheme="minorEastAsia" w:hAnsi="Trebuchet MS" w:cs="Trebuchet MS"/>
                <w:i/>
                <w:iCs/>
                <w:sz w:val="22"/>
                <w:szCs w:val="22"/>
              </w:rPr>
              <w:t xml:space="preserve"> (Chien, 2007).</w:t>
            </w:r>
          </w:p>
          <w:p w:rsidR="00AB7884" w:rsidRPr="0034040D" w:rsidRDefault="00AB7884">
            <w:pPr>
              <w:spacing w:before="240" w:after="120"/>
              <w:rPr>
                <w:rFonts w:ascii="Trebuchet MS" w:eastAsiaTheme="minorEastAsia" w:hAnsi="Trebuchet MS" w:cs="Trebuchet MS"/>
                <w:b/>
                <w:bCs/>
                <w:sz w:val="22"/>
                <w:szCs w:val="22"/>
                <w:lang w:eastAsia="en-ZA"/>
              </w:rPr>
            </w:pPr>
            <w:r w:rsidRPr="0034040D">
              <w:rPr>
                <w:rFonts w:ascii="Trebuchet MS" w:eastAsiaTheme="minorEastAsia" w:hAnsi="Trebuchet MS" w:cs="Trebuchet MS"/>
                <w:b/>
                <w:bCs/>
                <w:sz w:val="22"/>
                <w:szCs w:val="22"/>
                <w:lang w:eastAsia="en-ZA"/>
              </w:rPr>
              <w:t>Total costs of providing appropriate care for all who need it</w:t>
            </w:r>
          </w:p>
          <w:p w:rsidR="00AB7884" w:rsidRPr="0034040D" w:rsidRDefault="00AB7884">
            <w:pPr>
              <w:autoSpaceDE w:val="0"/>
              <w:autoSpaceDN w:val="0"/>
              <w:adjustRightInd w:val="0"/>
              <w:rPr>
                <w:rFonts w:eastAsiaTheme="minorEastAsia"/>
                <w:sz w:val="22"/>
                <w:szCs w:val="22"/>
                <w:lang w:val="en-ZA" w:eastAsia="en-ZA"/>
              </w:rPr>
            </w:pPr>
            <w:r w:rsidRPr="0034040D">
              <w:rPr>
                <w:rFonts w:eastAsiaTheme="minorEastAsia"/>
                <w:sz w:val="22"/>
                <w:szCs w:val="22"/>
                <w:lang w:val="en-ZA" w:eastAsia="en-ZA"/>
              </w:rPr>
              <w:t xml:space="preserve">It is important to remember that the price of ARVs represents only between 10% and 20% of the total costs of AIDS treatment. Even if the medications were free of charge, the challenge of providing appropriate care for all who need it would still be immense, especially given the current state of the health care system in most developing countries. In addition, the cheapest medication is not necessarily the best or most cost-effective treatment.  </w:t>
            </w:r>
          </w:p>
          <w:p w:rsidR="00AB7884" w:rsidRPr="0034040D" w:rsidRDefault="00AB7884">
            <w:pPr>
              <w:spacing w:before="120"/>
              <w:rPr>
                <w:rFonts w:eastAsiaTheme="minorEastAsia"/>
                <w:sz w:val="22"/>
                <w:szCs w:val="22"/>
                <w:lang w:val="en-ZA" w:eastAsia="en-ZA"/>
              </w:rPr>
            </w:pPr>
            <w:r w:rsidRPr="0034040D">
              <w:rPr>
                <w:rFonts w:eastAsiaTheme="minorEastAsia"/>
                <w:sz w:val="22"/>
                <w:szCs w:val="22"/>
                <w:lang w:val="en-ZA" w:eastAsia="en-ZA"/>
              </w:rPr>
              <w:t xml:space="preserve">To enhance efficient resource allocation and equitable access to HIV treatment, healthcare providers need data about: full economic costs of HIV-related healthcare services; ARV effects and outcomes (e.g. deaths, therapy discontinuation and switching to second-line treatment); health-related quality of life; and incremental lifetime costs of treatment. Only then can decisions be taken about cost-effectiveness of different types of treatments. </w:t>
            </w:r>
          </w:p>
          <w:p w:rsidR="00AB7884" w:rsidRPr="0034040D" w:rsidRDefault="00AB7884">
            <w:pPr>
              <w:pStyle w:val="EndnoteText"/>
              <w:spacing w:after="120"/>
              <w:rPr>
                <w:rFonts w:ascii="Arial" w:eastAsiaTheme="minorEastAsia" w:hAnsi="Arial" w:cs="Arial"/>
                <w:sz w:val="22"/>
                <w:szCs w:val="22"/>
                <w:vertAlign w:val="superscript"/>
              </w:rPr>
            </w:pPr>
            <w:r w:rsidRPr="0034040D">
              <w:rPr>
                <w:rFonts w:ascii="Arial" w:eastAsiaTheme="minorEastAsia" w:hAnsi="Arial" w:cs="Arial"/>
                <w:sz w:val="22"/>
                <w:szCs w:val="22"/>
              </w:rPr>
              <w:br/>
              <w:t xml:space="preserve">Robberstad and Evjen-Olsen (2010) calculated the costs of HAART (highly active antiretroviral therapy) based prevention of mother to child transmission (PMTCT) of HIV in Tanzania (called PMTCT Plus). It was calculated that the drug and laboratory costs together accounted for about 15% of the total costs of treatment. Overall, the study found that although PMTCT Plus is approximately 40% more expensive per pregnant woman than the use of single-dose nevirapine, expected health benefits were 5,2 times greater. The incremental cost effectiveness ratio was calculated to be US$4 062 per child infection averted and US$162 per disability adjusted life year lost. According to the study, “This is less than a third of the threshold of one GDP per capita per DALY suggested by the World Health Report 2002. According to this standard, implementation of PMTCT Plus in a Tanzanian setting can be seen as highly cost effective” (Robberstad &amp; Evjen-Olsen, 2010).  </w:t>
            </w:r>
          </w:p>
        </w:tc>
      </w:tr>
    </w:tbl>
    <w:p w:rsidR="00AB7884" w:rsidRDefault="00AB7884">
      <w:pPr>
        <w:pStyle w:val="NormalWeb"/>
        <w:spacing w:before="0" w:beforeAutospacing="0" w:after="120" w:afterAutospacing="0"/>
        <w:rPr>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AB7884" w:rsidRPr="0034040D">
        <w:tc>
          <w:tcPr>
            <w:tcW w:w="8460" w:type="dxa"/>
          </w:tcPr>
          <w:p w:rsidR="00AB7884" w:rsidRPr="0034040D" w:rsidRDefault="00AB7884">
            <w:pPr>
              <w:autoSpaceDE w:val="0"/>
              <w:autoSpaceDN w:val="0"/>
              <w:adjustRightInd w:val="0"/>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 xml:space="preserve">SUPPLEMENTARY READINGS </w:t>
            </w:r>
            <w:r w:rsidR="004D677B">
              <w:rPr>
                <w:rFonts w:ascii="Trebuchet MS" w:eastAsiaTheme="minorEastAsia" w:hAnsi="Trebuchet MS" w:cs="Trebuchet MS"/>
                <w:b/>
                <w:bCs/>
                <w:sz w:val="22"/>
                <w:szCs w:val="22"/>
              </w:rPr>
              <w:t xml:space="preserve"> [See DVD Unit 2]</w:t>
            </w:r>
          </w:p>
          <w:p w:rsidR="00AB7884" w:rsidRPr="0034040D" w:rsidRDefault="00AB7884">
            <w:pPr>
              <w:autoSpaceDE w:val="0"/>
              <w:autoSpaceDN w:val="0"/>
              <w:adjustRightInd w:val="0"/>
              <w:rPr>
                <w:rFonts w:ascii="Trebuchet MS" w:eastAsiaTheme="minorEastAsia" w:hAnsi="Trebuchet MS" w:cs="Trebuchet MS"/>
                <w:sz w:val="22"/>
                <w:szCs w:val="22"/>
                <w:lang w:val="en-ZA" w:eastAsia="en-ZA"/>
              </w:rPr>
            </w:pPr>
            <w:r w:rsidRPr="0034040D">
              <w:rPr>
                <w:rFonts w:ascii="Trebuchet MS" w:eastAsiaTheme="minorEastAsia" w:hAnsi="Trebuchet MS" w:cs="Trebuchet MS"/>
                <w:sz w:val="22"/>
                <w:szCs w:val="22"/>
                <w:lang w:val="en-ZA" w:eastAsia="en-ZA"/>
              </w:rPr>
              <w:t xml:space="preserve">Cleary, S.M., McIntyre, D. &amp; Boulle, A.M. (2006). The cost-effectiveness of Antiretroviral Treatment in Khayelitsha, South Africa </w:t>
            </w:r>
            <w:r w:rsidRPr="0034040D">
              <w:rPr>
                <w:rFonts w:eastAsiaTheme="minorEastAsia"/>
                <w:sz w:val="22"/>
                <w:szCs w:val="22"/>
                <w:lang w:val="en-ZA" w:eastAsia="en-ZA"/>
              </w:rPr>
              <w:t>─</w:t>
            </w:r>
            <w:r w:rsidRPr="0034040D">
              <w:rPr>
                <w:rFonts w:ascii="Trebuchet MS" w:eastAsiaTheme="minorEastAsia" w:hAnsi="Trebuchet MS" w:cs="Trebuchet MS"/>
                <w:sz w:val="22"/>
                <w:szCs w:val="22"/>
                <w:lang w:val="en-ZA" w:eastAsia="en-ZA"/>
              </w:rPr>
              <w:t xml:space="preserve"> a primary data analysis. </w:t>
            </w:r>
            <w:r w:rsidRPr="0034040D">
              <w:rPr>
                <w:rFonts w:ascii="Trebuchet MS" w:eastAsiaTheme="minorEastAsia" w:hAnsi="Trebuchet MS" w:cs="Trebuchet MS"/>
                <w:i/>
                <w:iCs/>
                <w:sz w:val="22"/>
                <w:szCs w:val="22"/>
                <w:lang w:val="en-ZA" w:eastAsia="en-ZA"/>
              </w:rPr>
              <w:t>BioMed Central Ltd</w:t>
            </w:r>
            <w:r w:rsidRPr="0034040D">
              <w:rPr>
                <w:rFonts w:ascii="Trebuchet MS" w:eastAsiaTheme="minorEastAsia" w:hAnsi="Trebuchet MS" w:cs="Trebuchet MS"/>
                <w:sz w:val="22"/>
                <w:szCs w:val="22"/>
                <w:lang w:val="en-ZA" w:eastAsia="en-ZA"/>
              </w:rPr>
              <w:t xml:space="preserve">. </w:t>
            </w:r>
          </w:p>
          <w:p w:rsidR="00AB7884" w:rsidRPr="0034040D" w:rsidRDefault="00AB7884">
            <w:pPr>
              <w:autoSpaceDE w:val="0"/>
              <w:autoSpaceDN w:val="0"/>
              <w:adjustRightInd w:val="0"/>
              <w:rPr>
                <w:rFonts w:ascii="Trebuchet MS" w:eastAsiaTheme="minorEastAsia" w:hAnsi="Trebuchet MS" w:cs="Trebuchet MS"/>
                <w:sz w:val="19"/>
                <w:szCs w:val="19"/>
                <w:lang w:val="en-ZA" w:eastAsia="en-ZA"/>
              </w:rPr>
            </w:pPr>
          </w:p>
          <w:p w:rsidR="00AB7884" w:rsidRPr="0034040D" w:rsidRDefault="00AB7884">
            <w:pPr>
              <w:autoSpaceDE w:val="0"/>
              <w:autoSpaceDN w:val="0"/>
              <w:adjustRightInd w:val="0"/>
              <w:spacing w:after="120"/>
              <w:rPr>
                <w:rFonts w:ascii="Trebuchet MS" w:eastAsiaTheme="minorEastAsia" w:hAnsi="Trebuchet MS" w:cs="Trebuchet MS"/>
                <w:sz w:val="22"/>
                <w:szCs w:val="22"/>
                <w:lang w:val="en-ZA" w:eastAsia="en-ZA"/>
              </w:rPr>
            </w:pPr>
            <w:r w:rsidRPr="0034040D">
              <w:rPr>
                <w:rFonts w:ascii="Trebuchet MS" w:eastAsiaTheme="minorEastAsia" w:hAnsi="Trebuchet MS" w:cs="Trebuchet MS"/>
                <w:sz w:val="22"/>
                <w:szCs w:val="22"/>
              </w:rPr>
              <w:t>Robberstad, B. &amp; Evjen-Olsen, B. (2010).</w:t>
            </w:r>
            <w:r w:rsidRPr="0034040D">
              <w:rPr>
                <w:rFonts w:ascii="Trebuchet MS" w:eastAsiaTheme="minorEastAsia" w:hAnsi="Trebuchet MS" w:cs="Trebuchet MS"/>
                <w:i/>
                <w:iCs/>
                <w:sz w:val="22"/>
                <w:szCs w:val="22"/>
              </w:rPr>
              <w:t xml:space="preserve">Preventing mother to child transmission of HIV with highly active antiretroviral treatment in Tanzania </w:t>
            </w:r>
            <w:r w:rsidRPr="0034040D">
              <w:rPr>
                <w:rFonts w:eastAsiaTheme="minorEastAsia"/>
                <w:i/>
                <w:iCs/>
                <w:sz w:val="22"/>
                <w:szCs w:val="22"/>
              </w:rPr>
              <w:t>─</w:t>
            </w:r>
            <w:r w:rsidRPr="0034040D">
              <w:rPr>
                <w:rFonts w:ascii="Trebuchet MS" w:eastAsiaTheme="minorEastAsia" w:hAnsi="Trebuchet MS" w:cs="Trebuchet MS"/>
                <w:i/>
                <w:iCs/>
                <w:sz w:val="22"/>
                <w:szCs w:val="22"/>
              </w:rPr>
              <w:t>a prospective cost-effectiveness study</w:t>
            </w:r>
            <w:r w:rsidRPr="0034040D">
              <w:rPr>
                <w:rFonts w:ascii="Trebuchet MS" w:eastAsiaTheme="minorEastAsia" w:hAnsi="Trebuchet MS" w:cs="Trebuchet MS"/>
                <w:sz w:val="22"/>
                <w:szCs w:val="22"/>
              </w:rPr>
              <w:t>. Center for International Health, University of Bergen, Bergen, Norway.</w:t>
            </w:r>
          </w:p>
        </w:tc>
      </w:tr>
    </w:tbl>
    <w:p w:rsidR="00AB7884" w:rsidRDefault="00AB7884">
      <w:pPr>
        <w:autoSpaceDE w:val="0"/>
        <w:autoSpaceDN w:val="0"/>
        <w:adjustRightInd w:val="0"/>
        <w:rPr>
          <w:sz w:val="22"/>
          <w:szCs w:val="22"/>
          <w:lang w:val="en-ZA" w:eastAsia="en-ZA"/>
        </w:rPr>
      </w:pPr>
    </w:p>
    <w:p w:rsidR="00AB7884" w:rsidRDefault="00AB7884">
      <w:pPr>
        <w:autoSpaceDE w:val="0"/>
        <w:autoSpaceDN w:val="0"/>
        <w:adjustRightInd w:val="0"/>
        <w:rPr>
          <w:sz w:val="22"/>
          <w:szCs w:val="22"/>
          <w:lang w:val="en-ZA" w:eastAsia="en-ZA"/>
        </w:rPr>
      </w:pPr>
      <w:r>
        <w:rPr>
          <w:sz w:val="22"/>
          <w:szCs w:val="22"/>
          <w:lang w:val="en-ZA" w:eastAsia="en-ZA"/>
        </w:rPr>
        <w:br w:type="page"/>
      </w:r>
    </w:p>
    <w:tbl>
      <w:tblPr>
        <w:tblW w:w="8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40"/>
      </w:tblGrid>
      <w:tr w:rsidR="00AB7884" w:rsidRPr="0034040D">
        <w:tc>
          <w:tcPr>
            <w:tcW w:w="8640" w:type="dxa"/>
          </w:tcPr>
          <w:p w:rsidR="00AB7884" w:rsidRPr="0034040D" w:rsidRDefault="00AB7884">
            <w:pPr>
              <w:pStyle w:val="NormalWeb"/>
              <w:spacing w:before="120" w:beforeAutospacing="0" w:after="120" w:afterAutospacing="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 xml:space="preserve">TASK 5 </w:t>
            </w:r>
            <w:r w:rsidRPr="0034040D">
              <w:rPr>
                <w:rFonts w:eastAsiaTheme="minorEastAsia"/>
                <w:b/>
                <w:bCs/>
                <w:sz w:val="22"/>
                <w:szCs w:val="22"/>
              </w:rPr>
              <w:t>─</w:t>
            </w:r>
            <w:r w:rsidRPr="0034040D">
              <w:rPr>
                <w:rFonts w:ascii="Trebuchet MS" w:eastAsiaTheme="minorEastAsia" w:hAnsi="Trebuchet MS" w:cs="Trebuchet MS"/>
                <w:b/>
                <w:bCs/>
                <w:sz w:val="22"/>
                <w:szCs w:val="22"/>
              </w:rPr>
              <w:t xml:space="preserve"> Analyse how the AIDS crisis has been an engine for change in the global pharmaceutical trade </w:t>
            </w:r>
          </w:p>
          <w:p w:rsidR="00AB7884" w:rsidRPr="0034040D" w:rsidRDefault="00AB7884">
            <w:pPr>
              <w:autoSpaceDE w:val="0"/>
              <w:autoSpaceDN w:val="0"/>
              <w:adjustRightInd w:val="0"/>
              <w:spacing w:before="120" w:after="120"/>
              <w:rPr>
                <w:rFonts w:ascii="Trebuchet MS" w:eastAsiaTheme="minorEastAsia" w:hAnsi="Trebuchet MS" w:cs="Trebuchet MS"/>
                <w:b/>
                <w:bCs/>
                <w:color w:val="171715"/>
                <w:sz w:val="22"/>
                <w:szCs w:val="22"/>
                <w:lang w:val="en-ZA"/>
              </w:rPr>
            </w:pPr>
            <w:r w:rsidRPr="0034040D">
              <w:rPr>
                <w:rFonts w:ascii="Trebuchet MS" w:eastAsiaTheme="minorEastAsia" w:hAnsi="Trebuchet MS" w:cs="Trebuchet MS"/>
                <w:b/>
                <w:bCs/>
                <w:color w:val="171715"/>
                <w:sz w:val="22"/>
                <w:szCs w:val="22"/>
                <w:lang w:val="en-ZA"/>
              </w:rPr>
              <w:t>READING</w:t>
            </w:r>
          </w:p>
          <w:p w:rsidR="00AB7884" w:rsidRPr="00556CD8" w:rsidRDefault="00AB7884">
            <w:pPr>
              <w:autoSpaceDE w:val="0"/>
              <w:autoSpaceDN w:val="0"/>
              <w:adjustRightInd w:val="0"/>
              <w:spacing w:before="120" w:after="120"/>
              <w:rPr>
                <w:rFonts w:ascii="Trebuchet MS" w:eastAsiaTheme="minorEastAsia" w:hAnsi="Trebuchet MS"/>
                <w:sz w:val="22"/>
                <w:szCs w:val="22"/>
                <w:lang w:eastAsia="en-ZA"/>
              </w:rPr>
            </w:pPr>
            <w:r w:rsidRPr="00556CD8">
              <w:rPr>
                <w:rFonts w:ascii="Trebuchet MS" w:eastAsiaTheme="minorEastAsia" w:hAnsi="Trebuchet MS"/>
                <w:sz w:val="22"/>
                <w:szCs w:val="22"/>
                <w:lang w:eastAsia="en-ZA"/>
              </w:rPr>
              <w:t xml:space="preserve">T’Hoen, E., Berger, J., Calmy, A., &amp; Moon, S. (2011). </w:t>
            </w:r>
            <w:r w:rsidRPr="00556CD8">
              <w:rPr>
                <w:rFonts w:ascii="Trebuchet MS" w:eastAsiaTheme="minorEastAsia" w:hAnsi="Trebuchet MS"/>
                <w:kern w:val="36"/>
                <w:sz w:val="22"/>
                <w:szCs w:val="22"/>
                <w:lang w:eastAsia="en-ZA"/>
              </w:rPr>
              <w:t>Driving a decade of change: HIV/AIDS, patents and access to medicines for all.</w:t>
            </w:r>
            <w:r w:rsidRPr="00556CD8">
              <w:rPr>
                <w:rFonts w:ascii="Trebuchet MS" w:eastAsiaTheme="minorEastAsia" w:hAnsi="Trebuchet MS"/>
                <w:i/>
                <w:iCs/>
                <w:sz w:val="22"/>
                <w:szCs w:val="22"/>
                <w:lang w:eastAsia="en-ZA"/>
              </w:rPr>
              <w:t xml:space="preserve"> Journal of the International AIDS Society, </w:t>
            </w:r>
            <w:r w:rsidRPr="00556CD8">
              <w:rPr>
                <w:rFonts w:ascii="Trebuchet MS" w:eastAsiaTheme="minorEastAsia" w:hAnsi="Trebuchet MS"/>
                <w:sz w:val="22"/>
                <w:szCs w:val="22"/>
                <w:lang w:eastAsia="en-ZA"/>
              </w:rPr>
              <w:t xml:space="preserve">14(15). [Online], Available: </w:t>
            </w:r>
            <w:hyperlink r:id="rId90" w:history="1">
              <w:r w:rsidRPr="00556CD8">
                <w:rPr>
                  <w:rStyle w:val="Hyperlink"/>
                  <w:rFonts w:ascii="Trebuchet MS" w:eastAsiaTheme="minorEastAsia" w:hAnsi="Trebuchet MS" w:cs="Arial"/>
                  <w:sz w:val="22"/>
                  <w:szCs w:val="22"/>
                  <w:u w:val="none"/>
                  <w:lang w:eastAsia="en-ZA"/>
                </w:rPr>
                <w:t>http://www.biomedcentral.com/1758-2652/14/15</w:t>
              </w:r>
            </w:hyperlink>
            <w:r w:rsidRPr="00556CD8">
              <w:rPr>
                <w:rFonts w:ascii="Trebuchet MS" w:eastAsiaTheme="minorEastAsia" w:hAnsi="Trebuchet MS"/>
                <w:sz w:val="22"/>
                <w:szCs w:val="22"/>
                <w:lang w:eastAsia="en-ZA"/>
              </w:rPr>
              <w:t xml:space="preserve"> [Downloaded: 3.9.12]</w:t>
            </w:r>
            <w:r w:rsidR="007F31EF">
              <w:rPr>
                <w:rFonts w:ascii="Trebuchet MS" w:eastAsiaTheme="minorEastAsia" w:hAnsi="Trebuchet MS"/>
                <w:sz w:val="22"/>
                <w:szCs w:val="22"/>
                <w:lang w:eastAsia="en-ZA"/>
              </w:rPr>
              <w:t xml:space="preserve"> [27 pages]</w:t>
            </w:r>
            <w:r w:rsidRPr="00556CD8">
              <w:rPr>
                <w:rFonts w:ascii="Trebuchet MS" w:eastAsiaTheme="minorEastAsia" w:hAnsi="Trebuchet MS"/>
                <w:sz w:val="22"/>
                <w:szCs w:val="22"/>
                <w:lang w:eastAsia="en-ZA"/>
              </w:rPr>
              <w:t>.</w:t>
            </w:r>
          </w:p>
          <w:p w:rsidR="00AB7884" w:rsidRPr="0034040D" w:rsidRDefault="00AB7884">
            <w:pPr>
              <w:autoSpaceDE w:val="0"/>
              <w:autoSpaceDN w:val="0"/>
              <w:adjustRightInd w:val="0"/>
              <w:spacing w:before="120" w:after="120"/>
              <w:rPr>
                <w:rFonts w:ascii="Trebuchet MS" w:eastAsiaTheme="minorEastAsia" w:hAnsi="Trebuchet MS" w:cs="Trebuchet MS"/>
                <w:sz w:val="22"/>
                <w:szCs w:val="22"/>
                <w:lang w:val="en-US"/>
              </w:rPr>
            </w:pPr>
            <w:r w:rsidRPr="0034040D">
              <w:rPr>
                <w:rFonts w:ascii="Trebuchet MS" w:eastAsiaTheme="minorEastAsia" w:hAnsi="Trebuchet MS" w:cs="Trebuchet MS"/>
                <w:sz w:val="22"/>
                <w:szCs w:val="22"/>
                <w:lang w:val="en-US"/>
              </w:rPr>
              <w:t xml:space="preserve">Lee, K. &amp; Collin, J. (2005). The globalization of the pharmaceutical industry. </w:t>
            </w:r>
            <w:r w:rsidRPr="0034040D">
              <w:rPr>
                <w:rFonts w:ascii="Trebuchet MS" w:eastAsiaTheme="minorEastAsia" w:hAnsi="Trebuchet MS" w:cs="Trebuchet MS"/>
                <w:i/>
                <w:iCs/>
                <w:sz w:val="22"/>
                <w:szCs w:val="22"/>
                <w:lang w:val="en-US"/>
              </w:rPr>
              <w:t>Global Change and Health</w:t>
            </w:r>
            <w:r w:rsidRPr="0034040D">
              <w:rPr>
                <w:rFonts w:ascii="Trebuchet MS" w:eastAsiaTheme="minorEastAsia" w:hAnsi="Trebuchet MS" w:cs="Trebuchet MS"/>
                <w:sz w:val="22"/>
                <w:szCs w:val="22"/>
                <w:lang w:val="en-US"/>
              </w:rPr>
              <w:t>. Open University Press, 100</w:t>
            </w:r>
            <w:r w:rsidRPr="0034040D">
              <w:rPr>
                <w:rFonts w:ascii="Times New Roman" w:eastAsiaTheme="minorEastAsia" w:hAnsi="Times New Roman" w:cs="Times New Roman"/>
                <w:sz w:val="22"/>
                <w:szCs w:val="22"/>
                <w:lang w:val="en-US"/>
              </w:rPr>
              <w:t>─</w:t>
            </w:r>
            <w:r w:rsidRPr="0034040D">
              <w:rPr>
                <w:rFonts w:ascii="Trebuchet MS" w:eastAsiaTheme="minorEastAsia" w:hAnsi="Trebuchet MS" w:cs="Trebuchet MS"/>
                <w:sz w:val="22"/>
                <w:szCs w:val="22"/>
                <w:lang w:val="en-US"/>
              </w:rPr>
              <w:t>101.</w:t>
            </w:r>
          </w:p>
          <w:p w:rsidR="00AB7884" w:rsidRPr="0034040D" w:rsidRDefault="00AB7884" w:rsidP="007F44B4">
            <w:pPr>
              <w:pStyle w:val="ListParagraph"/>
              <w:numPr>
                <w:ilvl w:val="0"/>
                <w:numId w:val="33"/>
              </w:numPr>
              <w:rPr>
                <w:rFonts w:ascii="Trebuchet MS" w:eastAsiaTheme="minorEastAsia" w:hAnsi="Trebuchet MS" w:cs="Trebuchet MS"/>
                <w:kern w:val="36"/>
                <w:sz w:val="22"/>
                <w:szCs w:val="22"/>
                <w:lang w:eastAsia="en-ZA"/>
              </w:rPr>
            </w:pPr>
            <w:r w:rsidRPr="0034040D">
              <w:rPr>
                <w:rFonts w:ascii="Trebuchet MS" w:eastAsiaTheme="minorEastAsia" w:hAnsi="Trebuchet MS" w:cs="Trebuchet MS"/>
                <w:kern w:val="36"/>
                <w:sz w:val="22"/>
                <w:szCs w:val="22"/>
                <w:lang w:eastAsia="en-ZA"/>
              </w:rPr>
              <w:t>As you read the article by T’Hoen, et al (2011), make notes to highlight the events which took place between 1995 and 2011 with respect to access to ARVs.</w:t>
            </w:r>
          </w:p>
          <w:p w:rsidR="00AB7884" w:rsidRPr="0034040D" w:rsidRDefault="00AB7884" w:rsidP="007F44B4">
            <w:pPr>
              <w:pStyle w:val="ListParagraph"/>
              <w:numPr>
                <w:ilvl w:val="0"/>
                <w:numId w:val="33"/>
              </w:numPr>
              <w:rPr>
                <w:rFonts w:ascii="Trebuchet MS" w:eastAsiaTheme="minorEastAsia" w:hAnsi="Trebuchet MS" w:cs="Trebuchet MS"/>
                <w:kern w:val="36"/>
                <w:sz w:val="22"/>
                <w:szCs w:val="22"/>
                <w:lang w:eastAsia="en-ZA"/>
              </w:rPr>
            </w:pPr>
            <w:r w:rsidRPr="0034040D">
              <w:rPr>
                <w:rFonts w:ascii="Trebuchet MS" w:eastAsiaTheme="minorEastAsia" w:hAnsi="Trebuchet MS" w:cs="Trebuchet MS"/>
                <w:kern w:val="36"/>
                <w:sz w:val="22"/>
                <w:szCs w:val="22"/>
                <w:lang w:eastAsia="en-ZA"/>
              </w:rPr>
              <w:t>What is the ‘treatment timebomb’ that is referred to in the article?</w:t>
            </w:r>
          </w:p>
          <w:p w:rsidR="00AB7884" w:rsidRPr="0034040D" w:rsidRDefault="00AB7884" w:rsidP="007F44B4">
            <w:pPr>
              <w:pStyle w:val="ListParagraph"/>
              <w:numPr>
                <w:ilvl w:val="0"/>
                <w:numId w:val="33"/>
              </w:numPr>
              <w:rPr>
                <w:rFonts w:ascii="Trebuchet MS" w:eastAsiaTheme="minorEastAsia" w:hAnsi="Trebuchet MS" w:cs="Trebuchet MS"/>
                <w:kern w:val="36"/>
                <w:sz w:val="22"/>
                <w:szCs w:val="22"/>
                <w:lang w:eastAsia="en-ZA"/>
              </w:rPr>
            </w:pPr>
            <w:r w:rsidRPr="0034040D">
              <w:rPr>
                <w:rFonts w:ascii="Trebuchet MS" w:eastAsiaTheme="minorEastAsia" w:hAnsi="Trebuchet MS" w:cs="Trebuchet MS"/>
                <w:kern w:val="36"/>
                <w:sz w:val="22"/>
                <w:szCs w:val="22"/>
                <w:lang w:eastAsia="en-ZA"/>
              </w:rPr>
              <w:t>Use Light’s framework, in the Lee &amp; Collin (2005) chapter to analyse the power dynamics in the ‘struggle to access ARVs’.</w:t>
            </w:r>
          </w:p>
          <w:p w:rsidR="00AB7884" w:rsidRPr="0034040D" w:rsidRDefault="00AB7884" w:rsidP="007F44B4">
            <w:pPr>
              <w:pStyle w:val="ListParagraph"/>
              <w:numPr>
                <w:ilvl w:val="0"/>
                <w:numId w:val="33"/>
              </w:numPr>
              <w:spacing w:after="120"/>
              <w:ind w:left="357" w:hanging="357"/>
              <w:rPr>
                <w:rFonts w:ascii="Trebuchet MS" w:eastAsiaTheme="minorEastAsia" w:hAnsi="Trebuchet MS" w:cs="Trebuchet MS"/>
                <w:b/>
                <w:bCs/>
                <w:sz w:val="22"/>
                <w:szCs w:val="22"/>
              </w:rPr>
            </w:pPr>
            <w:r w:rsidRPr="0034040D">
              <w:rPr>
                <w:rFonts w:ascii="Trebuchet MS" w:eastAsiaTheme="minorEastAsia" w:hAnsi="Trebuchet MS" w:cs="Trebuchet MS"/>
                <w:kern w:val="36"/>
                <w:sz w:val="22"/>
                <w:szCs w:val="22"/>
                <w:lang w:eastAsia="en-ZA"/>
              </w:rPr>
              <w:t>How has the AIDS crisis been an engine for change in the global pharmaceutical trade?</w:t>
            </w:r>
          </w:p>
        </w:tc>
      </w:tr>
    </w:tbl>
    <w:p w:rsidR="00AB7884" w:rsidRDefault="00AB7884">
      <w:pPr>
        <w:tabs>
          <w:tab w:val="left" w:pos="6313"/>
        </w:tabs>
        <w:autoSpaceDE w:val="0"/>
        <w:autoSpaceDN w:val="0"/>
        <w:adjustRightInd w:val="0"/>
        <w:spacing w:before="240" w:after="120"/>
        <w:rPr>
          <w:rFonts w:ascii="Trebuchet MS" w:hAnsi="Trebuchet MS" w:cs="Trebuchet MS"/>
          <w:b/>
          <w:bCs/>
          <w:color w:val="171715"/>
          <w:sz w:val="22"/>
          <w:szCs w:val="22"/>
          <w:lang w:val="en-ZA"/>
        </w:rPr>
      </w:pPr>
      <w:r>
        <w:rPr>
          <w:rFonts w:ascii="Trebuchet MS" w:hAnsi="Trebuchet MS" w:cs="Trebuchet MS"/>
          <w:b/>
          <w:bCs/>
          <w:color w:val="171715"/>
          <w:sz w:val="22"/>
          <w:szCs w:val="22"/>
          <w:lang w:val="en-ZA"/>
        </w:rPr>
        <w:t>FEEDBACK</w:t>
      </w:r>
    </w:p>
    <w:p w:rsidR="00AB7884" w:rsidRDefault="00AB7884" w:rsidP="007F44B4">
      <w:pPr>
        <w:pStyle w:val="ListParagraph"/>
        <w:numPr>
          <w:ilvl w:val="0"/>
          <w:numId w:val="34"/>
        </w:numPr>
        <w:autoSpaceDE w:val="0"/>
        <w:autoSpaceDN w:val="0"/>
        <w:adjustRightInd w:val="0"/>
        <w:rPr>
          <w:color w:val="171715"/>
          <w:sz w:val="22"/>
          <w:szCs w:val="22"/>
          <w:lang w:val="en-ZA"/>
        </w:rPr>
      </w:pPr>
      <w:r>
        <w:rPr>
          <w:color w:val="171715"/>
          <w:sz w:val="22"/>
          <w:szCs w:val="22"/>
          <w:lang w:val="en-ZA"/>
        </w:rPr>
        <w:t>The table below highlights some of the main events in the struggle to access ARVs.</w:t>
      </w:r>
    </w:p>
    <w:p w:rsidR="00AB7884" w:rsidRDefault="00AB7884">
      <w:pPr>
        <w:autoSpaceDE w:val="0"/>
        <w:autoSpaceDN w:val="0"/>
        <w:adjustRightInd w:val="0"/>
        <w:spacing w:before="120" w:after="120"/>
        <w:rPr>
          <w:rFonts w:ascii="Trebuchet MS" w:hAnsi="Trebuchet MS" w:cs="Trebuchet MS"/>
          <w:b/>
          <w:bCs/>
          <w:color w:val="171715"/>
          <w:sz w:val="22"/>
          <w:szCs w:val="22"/>
          <w:lang w:val="en-ZA"/>
        </w:rPr>
      </w:pPr>
      <w:r>
        <w:rPr>
          <w:rFonts w:ascii="Trebuchet MS" w:hAnsi="Trebuchet MS" w:cs="Trebuchet MS"/>
          <w:b/>
          <w:bCs/>
          <w:color w:val="171715"/>
          <w:sz w:val="22"/>
          <w:szCs w:val="22"/>
          <w:lang w:val="en-ZA"/>
        </w:rPr>
        <w:br/>
        <w:t>Table 2.3.4 The struggle to access ARVs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7"/>
        <w:gridCol w:w="7286"/>
      </w:tblGrid>
      <w:tr w:rsidR="00AB7884" w:rsidRPr="0034040D">
        <w:tc>
          <w:tcPr>
            <w:tcW w:w="1327" w:type="dxa"/>
          </w:tcPr>
          <w:p w:rsidR="00AB7884" w:rsidRPr="0034040D" w:rsidRDefault="00AB7884">
            <w:pPr>
              <w:autoSpaceDE w:val="0"/>
              <w:autoSpaceDN w:val="0"/>
              <w:adjustRightInd w:val="0"/>
              <w:spacing w:before="120" w:after="120"/>
              <w:rPr>
                <w:rFonts w:ascii="Trebuchet MS" w:eastAsiaTheme="minorEastAsia" w:hAnsi="Trebuchet MS" w:cs="Trebuchet MS"/>
                <w:b/>
                <w:bCs/>
                <w:color w:val="171715"/>
                <w:lang w:val="en-ZA"/>
              </w:rPr>
            </w:pPr>
            <w:r w:rsidRPr="0034040D">
              <w:rPr>
                <w:rFonts w:ascii="Trebuchet MS" w:eastAsiaTheme="minorEastAsia" w:hAnsi="Trebuchet MS" w:cs="Trebuchet MS"/>
                <w:b/>
                <w:bCs/>
                <w:color w:val="171715"/>
                <w:lang w:val="en-ZA"/>
              </w:rPr>
              <w:t>YEAR</w:t>
            </w: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b/>
                <w:bCs/>
                <w:color w:val="171715"/>
                <w:lang w:val="en-ZA"/>
              </w:rPr>
            </w:pPr>
            <w:r w:rsidRPr="0034040D">
              <w:rPr>
                <w:rFonts w:ascii="Trebuchet MS" w:eastAsiaTheme="minorEastAsia" w:hAnsi="Trebuchet MS" w:cs="Trebuchet MS"/>
                <w:b/>
                <w:bCs/>
                <w:color w:val="171715"/>
                <w:lang w:val="en-ZA"/>
              </w:rPr>
              <w:t>EVENT</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br w:type="page"/>
              <w:t>1995</w:t>
            </w: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 xml:space="preserve">TRIPS adopted under the auspices of the WTO – confers patent rights and measures to patent holders to enforce their rights. </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1997</w:t>
            </w: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lang w:eastAsia="en-ZA"/>
              </w:rPr>
              <w:t>Against the backdrop of the growing AIDS crisis in 1997, the South African (SA) government amends the Medicines Act to make low-cost medicines more available to all.</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lang w:eastAsia="en-ZA"/>
              </w:rPr>
              <w:t>1998</w:t>
            </w:r>
          </w:p>
        </w:tc>
        <w:tc>
          <w:tcPr>
            <w:tcW w:w="7286" w:type="dxa"/>
          </w:tcPr>
          <w:p w:rsidR="00AB7884" w:rsidRPr="0034040D" w:rsidRDefault="00AB7884">
            <w:pPr>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lang w:eastAsia="en-ZA"/>
              </w:rPr>
              <w:t>Forty-one pharmaceutical companies sue the SA government, arguing that the amendment to the Medicines Act is neither constitutional nor in compliance with the TRIPS Agreement. (This case was dropped in 2001, after a global public outcry that built on the Treatment Action Campaign's (TAC) legal intervention and domestic advocacy campaign. This action will be discussed in more detail in Unit 5.)</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lang w:eastAsia="en-ZA"/>
              </w:rPr>
            </w:pPr>
            <w:r w:rsidRPr="0034040D">
              <w:rPr>
                <w:rFonts w:ascii="Trebuchet MS" w:eastAsiaTheme="minorEastAsia" w:hAnsi="Trebuchet MS" w:cs="Trebuchet MS"/>
                <w:lang w:eastAsia="en-ZA"/>
              </w:rPr>
              <w:t>1999</w:t>
            </w:r>
          </w:p>
        </w:tc>
        <w:tc>
          <w:tcPr>
            <w:tcW w:w="7286" w:type="dxa"/>
          </w:tcPr>
          <w:p w:rsidR="00AB7884" w:rsidRPr="0034040D" w:rsidRDefault="00AB7884">
            <w:pPr>
              <w:spacing w:before="120" w:after="120"/>
              <w:rPr>
                <w:rFonts w:ascii="Trebuchet MS" w:eastAsiaTheme="minorEastAsia" w:hAnsi="Trebuchet MS" w:cs="Trebuchet MS"/>
                <w:lang w:eastAsia="en-ZA"/>
              </w:rPr>
            </w:pPr>
            <w:r w:rsidRPr="0034040D">
              <w:rPr>
                <w:rFonts w:ascii="Trebuchet MS" w:eastAsiaTheme="minorEastAsia" w:hAnsi="Trebuchet MS" w:cs="Trebuchet MS"/>
                <w:lang w:eastAsia="en-ZA"/>
              </w:rPr>
              <w:t>Civil society organisations and governments of some developing countries protest against the public health implications of TRIPS at the WTO conference in Seattle. There is a call to ‘humanize the trade agreements’ and to use measures, such as compulsory licensing, to speed up the production and availability of generics for HIV/AIDS, without risk of trade retaliation.</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lang w:eastAsia="en-ZA"/>
              </w:rPr>
            </w:pPr>
            <w:r w:rsidRPr="0034040D">
              <w:rPr>
                <w:rFonts w:ascii="Trebuchet MS" w:eastAsiaTheme="minorEastAsia" w:hAnsi="Trebuchet MS" w:cs="Trebuchet MS"/>
                <w:lang w:eastAsia="en-ZA"/>
              </w:rPr>
              <w:t>2000</w:t>
            </w:r>
          </w:p>
          <w:p w:rsidR="00AB7884" w:rsidRPr="0034040D" w:rsidRDefault="00AB7884">
            <w:pPr>
              <w:spacing w:before="120" w:after="120"/>
              <w:ind w:left="113"/>
              <w:rPr>
                <w:rFonts w:ascii="Trebuchet MS" w:eastAsiaTheme="minorEastAsia" w:hAnsi="Trebuchet MS" w:cs="Trebuchet MS"/>
                <w:lang w:eastAsia="en-ZA"/>
              </w:rPr>
            </w:pP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lang w:eastAsia="en-ZA"/>
              </w:rPr>
            </w:pPr>
            <w:r w:rsidRPr="0034040D">
              <w:rPr>
                <w:rFonts w:ascii="Trebuchet MS" w:eastAsiaTheme="minorEastAsia" w:hAnsi="Trebuchet MS" w:cs="Trebuchet MS"/>
              </w:rPr>
              <w:t xml:space="preserve">Five pharmaceutical companies negotiate cuts in the price of ARVs for regions severely affected by HIV/AIDS epidemic. Significant price reductions are achieved, but drugs still remain prohibitively expensive. </w:t>
            </w:r>
          </w:p>
        </w:tc>
      </w:tr>
    </w:tbl>
    <w:p w:rsidR="00AB7884" w:rsidRDefault="00AB7884">
      <w:pPr>
        <w:rPr>
          <w:rFonts w:ascii="Trebuchet MS" w:hAnsi="Trebuchet MS" w:cs="Trebuchet M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7"/>
        <w:gridCol w:w="7286"/>
      </w:tblGrid>
      <w:tr w:rsidR="00AB7884" w:rsidRPr="0034040D">
        <w:trPr>
          <w:trHeight w:val="518"/>
        </w:trPr>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lastRenderedPageBreak/>
              <w:t xml:space="preserve">2001 </w:t>
            </w: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lang w:eastAsia="en-ZA"/>
              </w:rPr>
            </w:pPr>
            <w:r w:rsidRPr="0034040D">
              <w:rPr>
                <w:rFonts w:ascii="Trebuchet MS" w:eastAsiaTheme="minorEastAsia" w:hAnsi="Trebuchet MS" w:cs="Trebuchet MS"/>
                <w:color w:val="171715"/>
                <w:lang w:val="en-ZA"/>
              </w:rPr>
              <w:t xml:space="preserve">WTO adopt a separate declaration on TRIPS and Public Health so as to enable the implementation and interpretation of the TRIPS Agreement in a way that supports public health – by promoting access to existing medicines and the creation of new medicines. </w:t>
            </w:r>
            <w:r w:rsidRPr="0034040D">
              <w:rPr>
                <w:rFonts w:ascii="Trebuchet MS" w:eastAsiaTheme="minorEastAsia" w:hAnsi="Trebuchet MS" w:cs="Trebuchet MS"/>
              </w:rPr>
              <w:t>They reinforce countries’ ability to use the flexibilities that are built into the TRIPS Agreement, including compulsory licensing and parallel importing. (This is sometimes called the “Paragraph 6” issue, because it comes under that paragraph in the separate Doha Declaration on TRIPS and public health.)</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lang w:eastAsia="en-ZA"/>
              </w:rPr>
            </w:pPr>
            <w:r w:rsidRPr="0034040D">
              <w:rPr>
                <w:rFonts w:ascii="Trebuchet MS" w:eastAsiaTheme="minorEastAsia" w:hAnsi="Trebuchet MS" w:cs="Trebuchet MS"/>
                <w:lang w:eastAsia="en-ZA"/>
              </w:rPr>
              <w:t>2003</w:t>
            </w:r>
          </w:p>
        </w:tc>
        <w:tc>
          <w:tcPr>
            <w:tcW w:w="7286" w:type="dxa"/>
          </w:tcPr>
          <w:p w:rsidR="00AB7884" w:rsidRPr="0034040D" w:rsidRDefault="00AB7884" w:rsidP="007F44B4">
            <w:pPr>
              <w:pStyle w:val="ListParagraph"/>
              <w:numPr>
                <w:ilvl w:val="0"/>
                <w:numId w:val="47"/>
              </w:numPr>
              <w:autoSpaceDE w:val="0"/>
              <w:autoSpaceDN w:val="0"/>
              <w:adjustRightInd w:val="0"/>
              <w:spacing w:before="120" w:after="120"/>
              <w:rPr>
                <w:rFonts w:ascii="Trebuchet MS" w:eastAsiaTheme="minorEastAsia" w:hAnsi="Trebuchet MS" w:cs="Trebuchet MS"/>
                <w:lang w:eastAsia="en-ZA"/>
              </w:rPr>
            </w:pPr>
            <w:r w:rsidRPr="0034040D">
              <w:rPr>
                <w:rFonts w:ascii="Trebuchet MS" w:eastAsiaTheme="minorEastAsia" w:hAnsi="Trebuchet MS" w:cs="Trebuchet MS"/>
                <w:lang w:val="en-ZA"/>
              </w:rPr>
              <w:t xml:space="preserve">WTO’s Decision on the Implementation of Paragraph 6 of the Doha Declaration specifies when countries can import drugs produced elsewhere under compulsory licensing. </w:t>
            </w:r>
          </w:p>
          <w:p w:rsidR="00AB7884" w:rsidRPr="0034040D" w:rsidRDefault="00AB7884" w:rsidP="007F44B4">
            <w:pPr>
              <w:pStyle w:val="ListParagraph"/>
              <w:numPr>
                <w:ilvl w:val="0"/>
                <w:numId w:val="47"/>
              </w:numPr>
              <w:autoSpaceDE w:val="0"/>
              <w:autoSpaceDN w:val="0"/>
              <w:adjustRightInd w:val="0"/>
              <w:spacing w:before="120" w:after="120"/>
              <w:rPr>
                <w:rFonts w:ascii="Trebuchet MS" w:eastAsiaTheme="minorEastAsia" w:hAnsi="Trebuchet MS" w:cs="Trebuchet MS"/>
                <w:lang w:eastAsia="en-ZA"/>
              </w:rPr>
            </w:pPr>
            <w:r w:rsidRPr="0034040D">
              <w:rPr>
                <w:rFonts w:ascii="Trebuchet MS" w:eastAsiaTheme="minorEastAsia" w:hAnsi="Trebuchet MS" w:cs="Trebuchet MS"/>
                <w:lang w:eastAsia="en-ZA"/>
              </w:rPr>
              <w:t xml:space="preserve">WTO removes barriers to exporting medicines produced under a compulsory licence, and ensures that countries that rely on imported medicines benefit from compulsory licences. </w:t>
            </w:r>
          </w:p>
          <w:p w:rsidR="00AB7884" w:rsidRPr="0034040D" w:rsidRDefault="00AB7884" w:rsidP="007F44B4">
            <w:pPr>
              <w:numPr>
                <w:ilvl w:val="0"/>
                <w:numId w:val="47"/>
              </w:numPr>
              <w:autoSpaceDE w:val="0"/>
              <w:autoSpaceDN w:val="0"/>
              <w:adjustRightInd w:val="0"/>
              <w:rPr>
                <w:rFonts w:ascii="Trebuchet MS" w:eastAsiaTheme="minorEastAsia" w:hAnsi="Trebuchet MS" w:cs="Trebuchet MS"/>
                <w:lang w:val="en-ZA"/>
              </w:rPr>
            </w:pPr>
            <w:r w:rsidRPr="0034040D">
              <w:rPr>
                <w:rFonts w:ascii="Trebuchet MS" w:eastAsiaTheme="minorEastAsia" w:hAnsi="Trebuchet MS" w:cs="Trebuchet MS"/>
                <w:lang w:eastAsia="en-ZA"/>
              </w:rPr>
              <w:t>High-income countries routinely use bilateral and regional trade agreements (called TRIPS-Plus) with some LIMC, which impose stricter intellectual property protection than under TRIPS limiting their rights to access affordable generics.</w:t>
            </w:r>
          </w:p>
          <w:p w:rsidR="00AB7884" w:rsidRPr="0034040D" w:rsidRDefault="00AB7884" w:rsidP="007F44B4">
            <w:pPr>
              <w:pStyle w:val="ListParagraph"/>
              <w:numPr>
                <w:ilvl w:val="0"/>
                <w:numId w:val="47"/>
              </w:numPr>
              <w:spacing w:before="120" w:after="120"/>
              <w:rPr>
                <w:rFonts w:ascii="Trebuchet MS" w:eastAsiaTheme="minorEastAsia" w:hAnsi="Trebuchet MS" w:cs="Trebuchet MS"/>
                <w:lang w:eastAsia="en-ZA"/>
              </w:rPr>
            </w:pPr>
            <w:r w:rsidRPr="0034040D">
              <w:rPr>
                <w:rFonts w:ascii="Trebuchet MS" w:eastAsiaTheme="minorEastAsia" w:hAnsi="Trebuchet MS" w:cs="Trebuchet MS"/>
                <w:lang w:val="en-ZA"/>
              </w:rPr>
              <w:t xml:space="preserve">The 3 by 5 initiative is launched – a global effort to provide 3 million people in LMIC with ARVs by 2005. </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 xml:space="preserve">2004 </w:t>
            </w: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Expanded access to ARVs contributes to a 19% decline in AIDS-related deaths – 5,2 million of the 15 million people in LIMC who need ARVs, have access</w:t>
            </w:r>
            <w:r w:rsidRPr="0034040D">
              <w:rPr>
                <w:rFonts w:ascii="Trebuchet MS" w:eastAsiaTheme="minorEastAsia" w:hAnsi="Trebuchet MS" w:cs="Trebuchet MS"/>
                <w:lang w:eastAsia="en-ZA"/>
              </w:rPr>
              <w:t>.</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2006</w:t>
            </w: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rPr>
              <w:t xml:space="preserve">UNITAID </w:t>
            </w:r>
            <w:r w:rsidRPr="0034040D">
              <w:rPr>
                <w:rFonts w:ascii="Trebuchet MS" w:eastAsiaTheme="minorEastAsia" w:hAnsi="Trebuchet MS" w:cs="Trebuchet MS"/>
                <w:lang w:val="en-ZA"/>
              </w:rPr>
              <w:t>–</w:t>
            </w:r>
            <w:r w:rsidRPr="0034040D">
              <w:rPr>
                <w:rFonts w:ascii="Trebuchet MS" w:eastAsiaTheme="minorEastAsia" w:hAnsi="Trebuchet MS" w:cs="Trebuchet MS"/>
              </w:rPr>
              <w:t xml:space="preserve"> an international drug purchasing facility </w:t>
            </w:r>
            <w:r w:rsidRPr="0034040D">
              <w:rPr>
                <w:rFonts w:ascii="Trebuchet MS" w:eastAsiaTheme="minorEastAsia" w:hAnsi="Trebuchet MS" w:cs="Trebuchet MS"/>
                <w:lang w:val="en-ZA"/>
              </w:rPr>
              <w:t>–</w:t>
            </w:r>
            <w:r w:rsidRPr="0034040D">
              <w:rPr>
                <w:rFonts w:ascii="Trebuchet MS" w:eastAsiaTheme="minorEastAsia" w:hAnsi="Trebuchet MS" w:cs="Trebuchet MS"/>
              </w:rPr>
              <w:t xml:space="preserve"> is established to ensure a stable source of funding for drugs to treat HIV/AIDS, malaria and tuberculosis. It partners with the Clinton Foundation's Clinton Health Access Initiative (CHAI) to negotiate with manufacturers, including generic producers, to continually lower the price of ARVs and supply them in over 70 developing countries.</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2007</w:t>
            </w: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In Sub-Saharan Africa, 33% (2,1 million people) of those who need them, receive ARVs.</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2008</w:t>
            </w:r>
          </w:p>
        </w:tc>
        <w:tc>
          <w:tcPr>
            <w:tcW w:w="7286" w:type="dxa"/>
          </w:tcPr>
          <w:p w:rsidR="00AB7884" w:rsidRPr="0034040D" w:rsidRDefault="00AB7884" w:rsidP="007F44B4">
            <w:pPr>
              <w:pStyle w:val="ListParagraph"/>
              <w:numPr>
                <w:ilvl w:val="0"/>
                <w:numId w:val="35"/>
              </w:num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95% of the global donor-funded ARV market is comprised of generics, mainly from India.</w:t>
            </w:r>
          </w:p>
          <w:p w:rsidR="00AB7884" w:rsidRPr="0034040D" w:rsidRDefault="00AB7884" w:rsidP="007F44B4">
            <w:pPr>
              <w:pStyle w:val="ListParagraph"/>
              <w:numPr>
                <w:ilvl w:val="0"/>
                <w:numId w:val="35"/>
              </w:num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 xml:space="preserve">4 million people globally have access; 2,9 million in Sub-Saharan Africa. </w:t>
            </w:r>
          </w:p>
          <w:p w:rsidR="00AB7884" w:rsidRPr="0034040D" w:rsidRDefault="00AB7884" w:rsidP="007F44B4">
            <w:pPr>
              <w:pStyle w:val="ListParagraph"/>
              <w:numPr>
                <w:ilvl w:val="0"/>
                <w:numId w:val="35"/>
              </w:num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 xml:space="preserve">5,5 million still do not have access. </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 xml:space="preserve">2009 </w:t>
            </w:r>
          </w:p>
        </w:tc>
        <w:tc>
          <w:tcPr>
            <w:tcW w:w="7286" w:type="dxa"/>
          </w:tcPr>
          <w:p w:rsidR="00AB7884" w:rsidRPr="0034040D" w:rsidRDefault="00AB7884" w:rsidP="007F44B4">
            <w:pPr>
              <w:pStyle w:val="ListParagraph"/>
              <w:numPr>
                <w:ilvl w:val="0"/>
                <w:numId w:val="52"/>
              </w:num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WHO revises its treatment guidelines which increase even further the number of people requiring ARVs.</w:t>
            </w:r>
          </w:p>
          <w:p w:rsidR="00AB7884" w:rsidRPr="0034040D" w:rsidRDefault="00AB7884" w:rsidP="007F44B4">
            <w:pPr>
              <w:pStyle w:val="ListParagraph"/>
              <w:numPr>
                <w:ilvl w:val="0"/>
                <w:numId w:val="52"/>
              </w:num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 xml:space="preserve">Negotiations between UNITAID and Big Pharma lead to a system of ‘tiered’ pricing – price of ARVs calculated using formulas based on average income per head. </w:t>
            </w:r>
          </w:p>
          <w:p w:rsidR="00AB7884" w:rsidRPr="0034040D" w:rsidRDefault="00AB7884" w:rsidP="007F44B4">
            <w:pPr>
              <w:pStyle w:val="ListParagraph"/>
              <w:numPr>
                <w:ilvl w:val="0"/>
                <w:numId w:val="52"/>
              </w:num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UNITAID creates a ‘patent pool’ to hold licences on various patented newer ARVs which generic companies can then produce at a lower cost for poor countries.</w:t>
            </w:r>
            <w:r w:rsidRPr="0034040D">
              <w:rPr>
                <w:rFonts w:ascii="Trebuchet MS" w:eastAsiaTheme="minorEastAsia" w:hAnsi="Trebuchet MS" w:cs="Trebuchet MS"/>
                <w:lang w:eastAsia="en-ZA"/>
              </w:rPr>
              <w:t xml:space="preserve"> </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color w:val="171715"/>
                <w:lang w:val="en-ZA"/>
              </w:rPr>
              <w:t>2010</w:t>
            </w:r>
          </w:p>
        </w:tc>
        <w:tc>
          <w:tcPr>
            <w:tcW w:w="7286" w:type="dxa"/>
          </w:tcPr>
          <w:p w:rsidR="00AB7884" w:rsidRPr="0034040D" w:rsidRDefault="00AB7884">
            <w:p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lang w:eastAsia="en-ZA"/>
              </w:rPr>
              <w:t xml:space="preserve">Generic ARVS widely used to treat HIV/AIDS in the developing world. </w:t>
            </w:r>
            <w:r w:rsidRPr="0034040D">
              <w:rPr>
                <w:rFonts w:ascii="Trebuchet MS" w:eastAsiaTheme="minorEastAsia" w:hAnsi="Trebuchet MS" w:cs="Trebuchet MS"/>
                <w:color w:val="171715"/>
                <w:lang w:val="en-ZA"/>
              </w:rPr>
              <w:t xml:space="preserve">Efforts underway for Treatment 2.0 – to bring down treatment costs, make treatment regimens simpler and smarter, reduce the burden on health systems, and </w:t>
            </w:r>
            <w:r w:rsidRPr="0034040D">
              <w:rPr>
                <w:rFonts w:ascii="Trebuchet MS" w:eastAsiaTheme="minorEastAsia" w:hAnsi="Trebuchet MS" w:cs="Trebuchet MS"/>
                <w:color w:val="171715"/>
                <w:lang w:val="en-ZA"/>
              </w:rPr>
              <w:lastRenderedPageBreak/>
              <w:t>improve the quality of life for people living with HIV. Could avert an additional 10 million deaths by 2025.</w:t>
            </w:r>
          </w:p>
        </w:tc>
      </w:tr>
      <w:tr w:rsidR="00AB7884" w:rsidRPr="0034040D">
        <w:tc>
          <w:tcPr>
            <w:tcW w:w="1327" w:type="dxa"/>
          </w:tcPr>
          <w:p w:rsidR="00AB7884" w:rsidRPr="0034040D" w:rsidRDefault="00AB7884">
            <w:pPr>
              <w:autoSpaceDE w:val="0"/>
              <w:autoSpaceDN w:val="0"/>
              <w:adjustRightInd w:val="0"/>
              <w:spacing w:before="120" w:after="120"/>
              <w:ind w:left="113"/>
              <w:rPr>
                <w:rFonts w:ascii="Trebuchet MS" w:eastAsiaTheme="minorEastAsia" w:hAnsi="Trebuchet MS" w:cs="Trebuchet MS"/>
                <w:color w:val="171715"/>
                <w:lang w:val="en-ZA"/>
              </w:rPr>
            </w:pPr>
            <w:r w:rsidRPr="0034040D">
              <w:rPr>
                <w:rFonts w:ascii="Trebuchet MS" w:eastAsiaTheme="minorEastAsia" w:hAnsi="Trebuchet MS" w:cs="Trebuchet MS"/>
              </w:rPr>
              <w:lastRenderedPageBreak/>
              <w:br w:type="page"/>
            </w:r>
            <w:r w:rsidRPr="0034040D">
              <w:rPr>
                <w:rFonts w:ascii="Trebuchet MS" w:eastAsiaTheme="minorEastAsia" w:hAnsi="Trebuchet MS" w:cs="Trebuchet MS"/>
                <w:color w:val="171715"/>
                <w:lang w:val="en-ZA"/>
              </w:rPr>
              <w:t>2011</w:t>
            </w:r>
          </w:p>
        </w:tc>
        <w:tc>
          <w:tcPr>
            <w:tcW w:w="7286" w:type="dxa"/>
          </w:tcPr>
          <w:p w:rsidR="00AB7884" w:rsidRPr="0034040D" w:rsidRDefault="00AB7884" w:rsidP="007F44B4">
            <w:pPr>
              <w:pStyle w:val="ListParagraph"/>
              <w:numPr>
                <w:ilvl w:val="0"/>
                <w:numId w:val="53"/>
              </w:numPr>
              <w:autoSpaceDE w:val="0"/>
              <w:autoSpaceDN w:val="0"/>
              <w:adjustRightInd w:val="0"/>
              <w:spacing w:before="120" w:after="120"/>
              <w:rPr>
                <w:rFonts w:ascii="Trebuchet MS" w:eastAsiaTheme="minorEastAsia" w:hAnsi="Trebuchet MS" w:cs="Trebuchet MS"/>
                <w:lang w:val="en-ZA"/>
              </w:rPr>
            </w:pPr>
            <w:r w:rsidRPr="0034040D">
              <w:rPr>
                <w:rFonts w:ascii="Trebuchet MS" w:eastAsiaTheme="minorEastAsia" w:hAnsi="Trebuchet MS" w:cs="Trebuchet MS"/>
                <w:color w:val="171715"/>
                <w:lang w:val="en-ZA"/>
              </w:rPr>
              <w:t xml:space="preserve">UNAIDS Declaration of Commitment on HIV/AIDS calling for universal access: towards zero new HIV infections, zero discrimination and zero AIDS-related deaths. Call for </w:t>
            </w:r>
            <w:r w:rsidRPr="0034040D">
              <w:rPr>
                <w:rFonts w:ascii="Trebuchet MS" w:eastAsiaTheme="minorEastAsia" w:hAnsi="Trebuchet MS" w:cs="Trebuchet MS"/>
                <w:lang w:val="en-ZA"/>
              </w:rPr>
              <w:t>rejuvenated political leadership for more focused, efficient and sustainable responses that are aligned with broader health, development and human rights agendas.</w:t>
            </w:r>
          </w:p>
          <w:p w:rsidR="00AB7884" w:rsidRPr="0034040D" w:rsidRDefault="00AB7884" w:rsidP="007F44B4">
            <w:pPr>
              <w:pStyle w:val="ListParagraph"/>
              <w:numPr>
                <w:ilvl w:val="0"/>
                <w:numId w:val="53"/>
              </w:numPr>
              <w:autoSpaceDE w:val="0"/>
              <w:autoSpaceDN w:val="0"/>
              <w:adjustRightInd w:val="0"/>
              <w:spacing w:before="120" w:after="120"/>
              <w:rPr>
                <w:rFonts w:ascii="Trebuchet MS" w:eastAsiaTheme="minorEastAsia" w:hAnsi="Trebuchet MS" w:cs="Trebuchet MS"/>
                <w:color w:val="171715"/>
                <w:lang w:val="en-ZA"/>
              </w:rPr>
            </w:pPr>
            <w:r w:rsidRPr="0034040D">
              <w:rPr>
                <w:rFonts w:ascii="Trebuchet MS" w:eastAsiaTheme="minorEastAsia" w:hAnsi="Trebuchet MS" w:cs="Trebuchet MS"/>
                <w:lang w:val="en-ZA"/>
              </w:rPr>
              <w:t xml:space="preserve">Moves by developed nations to tighten intellectual property laws by extending patents or limiting other public health-related flexibilities within the TRIPS Agreement threaten to limit the production and distribution of generic drugs (UNAIDS, 2010). </w:t>
            </w:r>
          </w:p>
        </w:tc>
      </w:tr>
    </w:tbl>
    <w:p w:rsidR="00AB7884" w:rsidRDefault="00AB7884">
      <w:pPr>
        <w:pStyle w:val="ListParagraph"/>
        <w:ind w:left="-249"/>
        <w:rPr>
          <w:sz w:val="22"/>
          <w:szCs w:val="22"/>
          <w:lang w:eastAsia="en-ZA"/>
        </w:rPr>
      </w:pPr>
    </w:p>
    <w:p w:rsidR="00AB7884" w:rsidRDefault="00AB7884" w:rsidP="007F44B4">
      <w:pPr>
        <w:pStyle w:val="ListParagraph"/>
        <w:numPr>
          <w:ilvl w:val="0"/>
          <w:numId w:val="34"/>
        </w:numPr>
        <w:spacing w:after="120"/>
        <w:ind w:left="108" w:hanging="357"/>
        <w:rPr>
          <w:sz w:val="22"/>
          <w:szCs w:val="22"/>
          <w:lang w:eastAsia="en-ZA"/>
        </w:rPr>
      </w:pPr>
      <w:r>
        <w:rPr>
          <w:sz w:val="22"/>
          <w:szCs w:val="22"/>
          <w:lang w:eastAsia="en-ZA"/>
        </w:rPr>
        <w:t>The ‘treatment time bomb’ refers to:</w:t>
      </w:r>
    </w:p>
    <w:p w:rsidR="00AB7884" w:rsidRDefault="00AB7884" w:rsidP="007F44B4">
      <w:pPr>
        <w:pStyle w:val="ListParagraph"/>
        <w:numPr>
          <w:ilvl w:val="0"/>
          <w:numId w:val="54"/>
        </w:numPr>
        <w:rPr>
          <w:sz w:val="22"/>
          <w:szCs w:val="22"/>
          <w:lang w:eastAsia="en-ZA"/>
        </w:rPr>
      </w:pPr>
      <w:r>
        <w:rPr>
          <w:sz w:val="22"/>
          <w:szCs w:val="22"/>
          <w:lang w:eastAsia="en-ZA"/>
        </w:rPr>
        <w:t>the increasing number of people needing new ARVs, but the rising costs of these due to wider patents and control by the commercial companies</w:t>
      </w:r>
    </w:p>
    <w:p w:rsidR="00AB7884" w:rsidRDefault="00AB7884" w:rsidP="007F44B4">
      <w:pPr>
        <w:pStyle w:val="ListParagraph"/>
        <w:numPr>
          <w:ilvl w:val="0"/>
          <w:numId w:val="54"/>
        </w:numPr>
        <w:rPr>
          <w:sz w:val="22"/>
          <w:szCs w:val="22"/>
          <w:lang w:eastAsia="en-ZA"/>
        </w:rPr>
      </w:pPr>
      <w:r>
        <w:rPr>
          <w:sz w:val="22"/>
          <w:szCs w:val="22"/>
          <w:lang w:eastAsia="en-ZA"/>
        </w:rPr>
        <w:t>developing countries being unable to produce or import generic medicines</w:t>
      </w:r>
    </w:p>
    <w:p w:rsidR="00AB7884" w:rsidRDefault="00AB7884" w:rsidP="007F44B4">
      <w:pPr>
        <w:pStyle w:val="ListParagraph"/>
        <w:numPr>
          <w:ilvl w:val="0"/>
          <w:numId w:val="54"/>
        </w:numPr>
        <w:rPr>
          <w:sz w:val="22"/>
          <w:szCs w:val="22"/>
          <w:lang w:eastAsia="en-ZA"/>
        </w:rPr>
      </w:pPr>
      <w:r>
        <w:rPr>
          <w:sz w:val="22"/>
          <w:szCs w:val="22"/>
          <w:lang w:eastAsia="en-ZA"/>
        </w:rPr>
        <w:t xml:space="preserve">the decline of global HIV/AIDS funding since 2009. </w:t>
      </w:r>
    </w:p>
    <w:p w:rsidR="00AB7884" w:rsidRDefault="00AB7884">
      <w:pPr>
        <w:pStyle w:val="ListParagraph"/>
        <w:ind w:left="0"/>
        <w:rPr>
          <w:sz w:val="22"/>
          <w:szCs w:val="22"/>
          <w:lang w:eastAsia="en-ZA"/>
        </w:rPr>
      </w:pPr>
    </w:p>
    <w:p w:rsidR="00AB7884" w:rsidRDefault="00AB7884" w:rsidP="007F44B4">
      <w:pPr>
        <w:pStyle w:val="ListParagraph"/>
        <w:numPr>
          <w:ilvl w:val="0"/>
          <w:numId w:val="34"/>
        </w:numPr>
        <w:ind w:left="0" w:hanging="357"/>
        <w:rPr>
          <w:sz w:val="22"/>
          <w:szCs w:val="22"/>
          <w:lang w:eastAsia="en-ZA"/>
        </w:rPr>
      </w:pPr>
      <w:r>
        <w:rPr>
          <w:sz w:val="22"/>
          <w:szCs w:val="22"/>
          <w:lang w:eastAsia="en-ZA"/>
        </w:rPr>
        <w:t xml:space="preserve">Light (1995) identifies four main sources of power in the pharmaceutical industry and their dynamic relation to one another: the commercial companies, the State, the medical profession and patients. </w:t>
      </w:r>
      <w:r>
        <w:rPr>
          <w:sz w:val="22"/>
          <w:szCs w:val="22"/>
          <w:lang w:eastAsia="en-ZA"/>
        </w:rPr>
        <w:br/>
      </w:r>
    </w:p>
    <w:p w:rsidR="00AB7884" w:rsidRDefault="00AB7884" w:rsidP="007F44B4">
      <w:pPr>
        <w:pStyle w:val="ListParagraph"/>
        <w:numPr>
          <w:ilvl w:val="0"/>
          <w:numId w:val="55"/>
        </w:numPr>
        <w:ind w:left="357" w:hanging="357"/>
        <w:rPr>
          <w:sz w:val="22"/>
          <w:szCs w:val="22"/>
          <w:lang w:eastAsia="en-ZA"/>
        </w:rPr>
      </w:pPr>
      <w:r>
        <w:rPr>
          <w:sz w:val="22"/>
          <w:szCs w:val="22"/>
          <w:lang w:val="en-ZA"/>
        </w:rPr>
        <w:t xml:space="preserve">Big Pharma, WTO and commercial trade agreements govern and control access to ARVs. Commercial companies have economic, political, and ideological power and generally use this to research and develop products for more affluent markets in order to earn higher profits rather than for ‘the health good’ of all. </w:t>
      </w:r>
    </w:p>
    <w:p w:rsidR="00AB7884" w:rsidRDefault="00AB7884" w:rsidP="007F44B4">
      <w:pPr>
        <w:pStyle w:val="ListParagraph"/>
        <w:numPr>
          <w:ilvl w:val="0"/>
          <w:numId w:val="55"/>
        </w:numPr>
        <w:tabs>
          <w:tab w:val="left" w:pos="426"/>
        </w:tabs>
        <w:rPr>
          <w:sz w:val="22"/>
          <w:szCs w:val="22"/>
          <w:lang w:eastAsia="en-ZA"/>
        </w:rPr>
      </w:pPr>
      <w:r>
        <w:rPr>
          <w:sz w:val="22"/>
          <w:szCs w:val="22"/>
          <w:lang w:val="en-ZA"/>
        </w:rPr>
        <w:t xml:space="preserve">The mainstream medical profession should have an independent voice to act in the interests of public health considerations, but is often influenced by and dependent on pharmaceutical companies for its own power. </w:t>
      </w:r>
    </w:p>
    <w:p w:rsidR="00AB7884" w:rsidRDefault="00AB7884" w:rsidP="007F44B4">
      <w:pPr>
        <w:pStyle w:val="ListParagraph"/>
        <w:numPr>
          <w:ilvl w:val="0"/>
          <w:numId w:val="55"/>
        </w:numPr>
        <w:tabs>
          <w:tab w:val="left" w:pos="426"/>
        </w:tabs>
        <w:rPr>
          <w:sz w:val="22"/>
          <w:szCs w:val="22"/>
          <w:lang w:eastAsia="en-ZA"/>
        </w:rPr>
      </w:pPr>
      <w:r>
        <w:rPr>
          <w:sz w:val="22"/>
          <w:szCs w:val="22"/>
          <w:lang w:val="en-ZA"/>
        </w:rPr>
        <w:t xml:space="preserve">The state should be the guardian of the health of the population, but its power to bring health to all is often undermined by commercial companies and commercial interests. Many states too act out of self-interest, helping to prop up the pharmaceutical interest. </w:t>
      </w:r>
    </w:p>
    <w:p w:rsidR="00AB7884" w:rsidRDefault="00AB7884" w:rsidP="007F44B4">
      <w:pPr>
        <w:pStyle w:val="ListParagraph"/>
        <w:numPr>
          <w:ilvl w:val="0"/>
          <w:numId w:val="55"/>
        </w:numPr>
        <w:tabs>
          <w:tab w:val="left" w:pos="426"/>
        </w:tabs>
        <w:rPr>
          <w:sz w:val="22"/>
          <w:szCs w:val="22"/>
          <w:lang w:eastAsia="en-ZA"/>
        </w:rPr>
      </w:pPr>
      <w:r>
        <w:rPr>
          <w:sz w:val="22"/>
          <w:szCs w:val="22"/>
          <w:lang w:val="en-ZA"/>
        </w:rPr>
        <w:t xml:space="preserve">Patients are generally marginalized people with very limited power, especially those who are poor, ill, and who live in societies in which there is gender and health inequity. However, in the case of ARVs, the </w:t>
      </w:r>
      <w:r>
        <w:rPr>
          <w:sz w:val="22"/>
          <w:szCs w:val="22"/>
          <w:lang w:eastAsia="en-ZA"/>
        </w:rPr>
        <w:t xml:space="preserve">intensive lobbying and collaboration of civil society organisations (representing patients) and some governments of developing countries challenged and managed to change the ARV landscape. </w:t>
      </w:r>
    </w:p>
    <w:p w:rsidR="00AB7884" w:rsidRDefault="00AB7884">
      <w:pPr>
        <w:rPr>
          <w:sz w:val="22"/>
          <w:szCs w:val="22"/>
          <w:lang w:val="en-ZA"/>
        </w:rPr>
      </w:pPr>
      <w:r>
        <w:rPr>
          <w:sz w:val="22"/>
          <w:szCs w:val="22"/>
          <w:lang w:val="en-ZA"/>
        </w:rPr>
        <w:t>Here is one scenario of how this imbalance in power plays itself out:</w:t>
      </w:r>
    </w:p>
    <w:p w:rsidR="00AB7884" w:rsidRDefault="00AB7884">
      <w:pPr>
        <w:rPr>
          <w:sz w:val="22"/>
          <w:szCs w:val="22"/>
          <w:lang w:val="en-ZA"/>
        </w:rPr>
      </w:pPr>
    </w:p>
    <w:p w:rsidR="00AB7884" w:rsidRDefault="00AB7884">
      <w:pPr>
        <w:rPr>
          <w:sz w:val="22"/>
          <w:szCs w:val="22"/>
          <w:lang w:val="en-ZA"/>
        </w:rPr>
      </w:pPr>
      <w:r>
        <w:rPr>
          <w:sz w:val="22"/>
          <w:szCs w:val="22"/>
          <w:lang w:val="en-ZA"/>
        </w:rPr>
        <w:t xml:space="preserve">One of the triple combination therapies for HIV/AIDS consists of the drugs Efavirenz, Tenofovir and Lamivudine, each of which is manufactured by a different pharmaceutical. If a country wanted to procure the triple combination therapies under the compulsory licence, it would need to submit separate applications for each drug to each pharmaceutical company. Each application is determined on a drug-by-drug and country-by-country basis, making the procedure complicated and unmanageable. In addition, economies of scale are lost and the price of the drugs increases. </w:t>
      </w:r>
      <w:r>
        <w:rPr>
          <w:sz w:val="22"/>
          <w:szCs w:val="22"/>
          <w:lang w:val="en-ZA"/>
        </w:rPr>
        <w:br/>
      </w:r>
    </w:p>
    <w:p w:rsidR="00AB7884" w:rsidRDefault="00AB7884">
      <w:pPr>
        <w:rPr>
          <w:sz w:val="22"/>
          <w:szCs w:val="22"/>
          <w:lang w:val="en-ZA"/>
        </w:rPr>
      </w:pPr>
      <w:r>
        <w:rPr>
          <w:sz w:val="22"/>
          <w:szCs w:val="22"/>
          <w:lang w:val="en-ZA"/>
        </w:rPr>
        <w:br w:type="page"/>
      </w:r>
    </w:p>
    <w:p w:rsidR="00AB7884" w:rsidRDefault="00AB7884" w:rsidP="007F44B4">
      <w:pPr>
        <w:numPr>
          <w:ilvl w:val="0"/>
          <w:numId w:val="34"/>
        </w:numPr>
        <w:rPr>
          <w:sz w:val="22"/>
          <w:szCs w:val="22"/>
          <w:lang w:eastAsia="en-ZA"/>
        </w:rPr>
      </w:pPr>
      <w:r>
        <w:rPr>
          <w:sz w:val="22"/>
          <w:szCs w:val="22"/>
          <w:lang w:eastAsia="en-ZA"/>
        </w:rPr>
        <w:t>You might have mentioned the following points in discussing how the AIDS crisis has been an engine for change:</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 xml:space="preserve">challenging intellectual property rights </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accessing ARVs</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increasing the political awareness about global health in general</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opening up of the space for political choices, power, resources and negotiations</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strengthening the role of civil society in decision-making about health policy</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bringing new financing mechanisms into the fields of health and development</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expanding health care from doctors to nurses to community health workers, and in some instances tightened delivery systems</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 xml:space="preserve">empowering patients </w:t>
      </w:r>
    </w:p>
    <w:p w:rsidR="00AB7884" w:rsidRDefault="00AB7884" w:rsidP="007F44B4">
      <w:pPr>
        <w:pStyle w:val="ListParagraph"/>
        <w:numPr>
          <w:ilvl w:val="0"/>
          <w:numId w:val="36"/>
        </w:numPr>
        <w:spacing w:before="100" w:beforeAutospacing="1" w:after="100" w:afterAutospacing="1"/>
        <w:rPr>
          <w:sz w:val="22"/>
          <w:szCs w:val="22"/>
          <w:lang w:eastAsia="en-ZA"/>
        </w:rPr>
      </w:pPr>
      <w:r>
        <w:rPr>
          <w:sz w:val="22"/>
          <w:szCs w:val="22"/>
          <w:lang w:eastAsia="en-ZA"/>
        </w:rPr>
        <w:t>improving the standard of care in resource-limited settings.</w:t>
      </w:r>
    </w:p>
    <w:p w:rsidR="00AB7884" w:rsidRDefault="00AB7884">
      <w:pPr>
        <w:pStyle w:val="ListParagraph"/>
        <w:ind w:left="0"/>
        <w:rPr>
          <w:sz w:val="22"/>
          <w:szCs w:val="22"/>
          <w:lang w:eastAsia="en-ZA"/>
        </w:rPr>
      </w:pPr>
      <w:r>
        <w:rPr>
          <w:sz w:val="22"/>
          <w:szCs w:val="22"/>
          <w:lang w:val="en-ZA"/>
        </w:rPr>
        <w:t xml:space="preserve">Despite the progress made in accessing ARVs, LMICs continue to be vulnerable to on-going pressure from TNCs. </w:t>
      </w:r>
      <w:r>
        <w:rPr>
          <w:sz w:val="22"/>
          <w:szCs w:val="22"/>
          <w:lang w:eastAsia="en-ZA"/>
        </w:rPr>
        <w:t xml:space="preserve">Merck, for example, has already stopped offering discounted prices to all lower-middle and upper-middle income countries, and instead negotiates discounts on an individual country basis. In </w:t>
      </w:r>
      <w:r>
        <w:rPr>
          <w:sz w:val="22"/>
          <w:szCs w:val="22"/>
          <w:lang w:val="en-ZA"/>
        </w:rPr>
        <w:t xml:space="preserve">July 2011, ViiV Healthcare (owned by Pfizer and GlaxoSmithKline) announced that middle-income countries with large numbers of people living with HIV will no longer benefit from preferential pricing for ARVs even when their programmes are fully funded by donors </w:t>
      </w:r>
      <w:r>
        <w:rPr>
          <w:sz w:val="22"/>
          <w:szCs w:val="22"/>
          <w:lang w:eastAsia="en-ZA"/>
        </w:rPr>
        <w:t xml:space="preserve">(MSF, 2011). ViiV Healthcare offers least developed countries, low-income countries and Sub-Saharan Africa not-for-profit prices and royalty-free voluntary licences. It offers middle-income countries a tiered pricing approach based on the GDP of the country and the burden of the epidemic. ViiV says, “This approach means that our medicines are available to those who need them the most and that ViiV Healthcare can generate a sustainable return to research and develop the HIV medicines of the future” (PlusNews, 2011). </w:t>
      </w:r>
    </w:p>
    <w:p w:rsidR="00AB7884" w:rsidRDefault="00AB7884">
      <w:pPr>
        <w:pStyle w:val="Heading2"/>
        <w:spacing w:before="0"/>
        <w:rPr>
          <w:rFonts w:ascii="Trebuchet MS" w:hAnsi="Trebuchet MS" w:cs="Trebuchet MS"/>
          <w:sz w:val="22"/>
          <w:szCs w:val="22"/>
        </w:rPr>
      </w:pPr>
    </w:p>
    <w:p w:rsidR="00AB7884" w:rsidRDefault="00AB7884">
      <w:pPr>
        <w:pStyle w:val="CommentText"/>
      </w:pPr>
    </w:p>
    <w:p w:rsidR="00AB7884" w:rsidRDefault="00AB7884">
      <w:pPr>
        <w:pStyle w:val="Heading2"/>
        <w:spacing w:before="0"/>
        <w:rPr>
          <w:rFonts w:ascii="Trebuchet MS" w:hAnsi="Trebuchet MS" w:cs="Trebuchet MS"/>
          <w:color w:val="FF0000"/>
          <w:sz w:val="24"/>
          <w:szCs w:val="24"/>
        </w:rPr>
      </w:pPr>
      <w:r>
        <w:rPr>
          <w:rFonts w:ascii="Trebuchet MS" w:hAnsi="Trebuchet MS" w:cs="Trebuchet MS"/>
          <w:sz w:val="28"/>
          <w:szCs w:val="28"/>
        </w:rPr>
        <w:t>5</w:t>
      </w:r>
      <w:r>
        <w:rPr>
          <w:rFonts w:ascii="Trebuchet MS" w:hAnsi="Trebuchet MS" w:cs="Trebuchet MS"/>
          <w:sz w:val="28"/>
          <w:szCs w:val="28"/>
        </w:rPr>
        <w:tab/>
        <w:t xml:space="preserve">THE NEED FOR A NEW REGULATORY FRAMEWORK </w:t>
      </w:r>
    </w:p>
    <w:p w:rsidR="00AB7884" w:rsidRDefault="00717A10">
      <w:pPr>
        <w:rPr>
          <w:rFonts w:ascii="Trebuchet MS" w:hAnsi="Trebuchet MS" w:cs="Trebuchet MS"/>
          <w:b/>
          <w:bCs/>
          <w:sz w:val="18"/>
          <w:szCs w:val="18"/>
        </w:rPr>
      </w:pPr>
      <w:r w:rsidRPr="00717A10">
        <w:rPr>
          <w:color w:val="FF0000"/>
          <w:sz w:val="24"/>
          <w:szCs w:val="24"/>
        </w:rPr>
        <w:pict>
          <v:rect id="_x0000_i1080" style="width:425.2pt;height:2pt" o:hralign="center" o:hrstd="t" o:hrnoshade="t" o:hr="t" fillcolor="black" stroked="f"/>
        </w:pict>
      </w:r>
    </w:p>
    <w:p w:rsidR="00AB7884" w:rsidRDefault="00AB7884">
      <w:pPr>
        <w:autoSpaceDE w:val="0"/>
        <w:autoSpaceDN w:val="0"/>
        <w:adjustRightInd w:val="0"/>
        <w:spacing w:before="120"/>
        <w:ind w:left="720"/>
        <w:rPr>
          <w:rFonts w:ascii="Trebuchet MS" w:hAnsi="Trebuchet MS" w:cs="Trebuchet MS"/>
          <w:i/>
          <w:iCs/>
          <w:sz w:val="22"/>
          <w:szCs w:val="22"/>
          <w:lang w:val="en-ZA" w:eastAsia="en-ZA"/>
        </w:rPr>
      </w:pPr>
      <w:r>
        <w:rPr>
          <w:rFonts w:ascii="Trebuchet MS" w:hAnsi="Trebuchet MS" w:cs="Trebuchet MS"/>
          <w:i/>
          <w:iCs/>
          <w:sz w:val="22"/>
          <w:szCs w:val="22"/>
          <w:lang w:val="en-ZA" w:eastAsia="en-ZA"/>
        </w:rPr>
        <w:t xml:space="preserve">“…under-medication remains an appalling problem in many parts of the world, while over-medication threatens others. Are these two world health crises related? In symbolic terms – like the contrast between obesity and emaciation from starvation – they clearly are. Beyond this, one may well conclude that excessive demand for medicines in richer countries perpetuates the growth of a global medicinal drug production system that by its nature neglects medical need where people cannot pay” </w:t>
      </w:r>
      <w:r>
        <w:rPr>
          <w:rFonts w:ascii="Trebuchet MS" w:hAnsi="Trebuchet MS" w:cs="Trebuchet MS"/>
          <w:sz w:val="22"/>
          <w:szCs w:val="22"/>
          <w:lang w:eastAsia="en-ZA"/>
        </w:rPr>
        <w:t>(People’s Health Movement, et al, 2012).</w:t>
      </w:r>
    </w:p>
    <w:p w:rsidR="00AB7884" w:rsidRDefault="00AB7884">
      <w:pPr>
        <w:autoSpaceDE w:val="0"/>
        <w:autoSpaceDN w:val="0"/>
        <w:adjustRightInd w:val="0"/>
        <w:rPr>
          <w:sz w:val="22"/>
          <w:szCs w:val="22"/>
          <w:lang w:eastAsia="en-ZA"/>
        </w:rPr>
      </w:pPr>
    </w:p>
    <w:p w:rsidR="00AB7884" w:rsidRDefault="00AB7884">
      <w:pPr>
        <w:autoSpaceDE w:val="0"/>
        <w:autoSpaceDN w:val="0"/>
        <w:adjustRightInd w:val="0"/>
        <w:rPr>
          <w:sz w:val="22"/>
          <w:szCs w:val="22"/>
          <w:lang w:eastAsia="en-ZA"/>
        </w:rPr>
      </w:pPr>
      <w:r>
        <w:rPr>
          <w:sz w:val="22"/>
          <w:szCs w:val="22"/>
          <w:lang w:eastAsia="en-ZA"/>
        </w:rPr>
        <w:t>Developing and producing pharmaceuticals is costly, and the expenses need to be covered by someone. What would fair trade in this industry look like? Is it fair, for example, that better off middle-income countries like South Africa pay more for lifesaving pharmaceuticals than low-income countries, like Tanzania? Some would argue that it is not possible to achieve fair trade under the current system which is ‘market driven by nature, design and (company) law’, and therefore more concerned with servicing a market that can pay, than with meeting the basic health needs of the poor (People’s Health Movement, et al, 2012). In other words, the priority of the current system is not health, but profit.</w:t>
      </w:r>
    </w:p>
    <w:p w:rsidR="00AB7884" w:rsidRDefault="00AB7884">
      <w:pPr>
        <w:autoSpaceDE w:val="0"/>
        <w:autoSpaceDN w:val="0"/>
        <w:adjustRightInd w:val="0"/>
        <w:rPr>
          <w:sz w:val="22"/>
          <w:szCs w:val="22"/>
          <w:lang w:eastAsia="en-ZA"/>
        </w:rPr>
      </w:pPr>
    </w:p>
    <w:p w:rsidR="00AB7884" w:rsidRDefault="00AB7884">
      <w:pPr>
        <w:autoSpaceDE w:val="0"/>
        <w:autoSpaceDN w:val="0"/>
        <w:adjustRightInd w:val="0"/>
        <w:rPr>
          <w:sz w:val="22"/>
          <w:szCs w:val="22"/>
          <w:lang w:eastAsia="en-ZA"/>
        </w:rPr>
      </w:pPr>
      <w:r>
        <w:rPr>
          <w:sz w:val="22"/>
          <w:szCs w:val="22"/>
          <w:lang w:eastAsia="en-ZA"/>
        </w:rPr>
        <w:lastRenderedPageBreak/>
        <w:t>However, a number of proposals have been put forward to reform the existing system, so as to incentivise pharmaceuticals companies to invest money in the R&amp;D of much-needed essential medicines, to delink R&amp;D costs from the drug prices, and to rather base the reward on innovation according to health care outcomes.</w:t>
      </w:r>
    </w:p>
    <w:p w:rsidR="00AA4C5D" w:rsidRDefault="00AA4C5D" w:rsidP="00AA4C5D">
      <w:pPr>
        <w:autoSpaceDE w:val="0"/>
        <w:autoSpaceDN w:val="0"/>
        <w:adjustRightInd w:val="0"/>
        <w:rPr>
          <w:lang w:eastAsia="en-ZA"/>
        </w:rPr>
      </w:pPr>
    </w:p>
    <w:tbl>
      <w:tblPr>
        <w:tblW w:w="84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2"/>
        <w:gridCol w:w="7188"/>
      </w:tblGrid>
      <w:tr w:rsidR="00AA4C5D" w:rsidRPr="0034040D" w:rsidTr="00AA4C5D">
        <w:trPr>
          <w:trHeight w:val="2012"/>
        </w:trPr>
        <w:tc>
          <w:tcPr>
            <w:tcW w:w="1282" w:type="dxa"/>
          </w:tcPr>
          <w:p w:rsidR="00AA4C5D" w:rsidRPr="0034040D" w:rsidRDefault="00717A10" w:rsidP="00206A1D">
            <w:pPr>
              <w:spacing w:before="120" w:after="120"/>
              <w:rPr>
                <w:rFonts w:ascii="Trebuchet MS" w:eastAsiaTheme="minorEastAsia" w:hAnsi="Trebuchet MS" w:cs="Trebuchet MS"/>
                <w:b/>
                <w:bCs/>
                <w:sz w:val="22"/>
                <w:szCs w:val="22"/>
              </w:rPr>
            </w:pPr>
            <w:r w:rsidRPr="00717A10">
              <w:rPr>
                <w:rFonts w:ascii="Trebuchet MS" w:eastAsiaTheme="minorEastAsia" w:hAnsi="Trebuchet MS" w:cs="Trebuchet MS"/>
                <w:noProof/>
                <w:sz w:val="22"/>
                <w:szCs w:val="22"/>
                <w:lang w:val="en-ZA" w:eastAsia="en-ZA"/>
              </w:rPr>
              <w:pict>
                <v:shape id="_x0000_i1081" type="#_x0000_t75" style="width:53.25pt;height:59.25pt;visibility:visible">
                  <v:imagedata r:id="rId13" o:title=""/>
                </v:shape>
              </w:pict>
            </w:r>
          </w:p>
        </w:tc>
        <w:tc>
          <w:tcPr>
            <w:tcW w:w="7188" w:type="dxa"/>
          </w:tcPr>
          <w:p w:rsidR="00AA4C5D" w:rsidRPr="005A5796" w:rsidRDefault="00AA4C5D" w:rsidP="00206A1D">
            <w:pPr>
              <w:pStyle w:val="Footer"/>
              <w:spacing w:before="120" w:after="120"/>
              <w:rPr>
                <w:rFonts w:ascii="Trebuchet MS" w:eastAsiaTheme="minorEastAsia" w:hAnsi="Trebuchet MS" w:cs="Trebuchet MS"/>
                <w:b/>
                <w:bCs/>
                <w:sz w:val="22"/>
                <w:szCs w:val="22"/>
              </w:rPr>
            </w:pPr>
            <w:r w:rsidRPr="0034040D">
              <w:rPr>
                <w:rFonts w:ascii="Trebuchet MS" w:eastAsiaTheme="minorEastAsia" w:hAnsi="Trebuchet MS" w:cs="Trebuchet MS"/>
                <w:b/>
                <w:bCs/>
                <w:sz w:val="22"/>
                <w:szCs w:val="22"/>
              </w:rPr>
              <w:t>Internet Resource</w:t>
            </w:r>
          </w:p>
          <w:p w:rsidR="00AA4C5D" w:rsidRPr="0034040D" w:rsidRDefault="00AA4C5D" w:rsidP="00AA4C5D">
            <w:pPr>
              <w:pStyle w:val="EndnoteText"/>
              <w:spacing w:before="120" w:after="120"/>
              <w:rPr>
                <w:rFonts w:ascii="Trebuchet MS" w:eastAsiaTheme="minorEastAsia" w:hAnsi="Trebuchet MS" w:cs="Trebuchet MS"/>
                <w:sz w:val="22"/>
                <w:szCs w:val="22"/>
              </w:rPr>
            </w:pPr>
            <w:r w:rsidRPr="0034040D">
              <w:rPr>
                <w:rFonts w:ascii="Trebuchet MS" w:eastAsiaTheme="minorEastAsia" w:hAnsi="Trebuchet MS" w:cs="Trebuchet MS"/>
                <w:i/>
                <w:iCs/>
                <w:sz w:val="22"/>
                <w:szCs w:val="22"/>
              </w:rPr>
              <w:t>Medicine for the 99 percent</w:t>
            </w:r>
            <w:r w:rsidRPr="0034040D">
              <w:rPr>
                <w:rFonts w:ascii="Trebuchet MS" w:eastAsiaTheme="minorEastAsia" w:hAnsi="Trebuchet MS" w:cs="Trebuchet MS"/>
                <w:sz w:val="22"/>
                <w:szCs w:val="22"/>
              </w:rPr>
              <w:t xml:space="preserve">. Thomas Pogge, TED.com. </w:t>
            </w:r>
          </w:p>
          <w:p w:rsidR="00AA4C5D" w:rsidRPr="0034040D" w:rsidRDefault="00AA4C5D" w:rsidP="00AA4C5D">
            <w:pPr>
              <w:autoSpaceDE w:val="0"/>
              <w:autoSpaceDN w:val="0"/>
              <w:adjustRightInd w:val="0"/>
              <w:rPr>
                <w:rFonts w:ascii="Trebuchet MS" w:eastAsiaTheme="minorEastAsia" w:hAnsi="Trebuchet MS" w:cs="Trebuchet MS"/>
                <w:b/>
                <w:bCs/>
                <w:sz w:val="22"/>
                <w:szCs w:val="22"/>
              </w:rPr>
            </w:pPr>
            <w:r w:rsidRPr="00AA4C5D">
              <w:rPr>
                <w:rFonts w:ascii="Trebuchet MS" w:eastAsiaTheme="minorEastAsia" w:hAnsi="Trebuchet MS" w:cs="Trebuchet MS"/>
                <w:sz w:val="22"/>
                <w:szCs w:val="22"/>
              </w:rPr>
              <w:t>http://www.ted.com/talks/thomas_pogge_medicine_for_the_99_percent.html</w:t>
            </w:r>
            <w:r w:rsidRPr="0034040D">
              <w:rPr>
                <w:rFonts w:ascii="Trebuchet MS" w:eastAsiaTheme="minorEastAsia" w:hAnsi="Trebuchet MS" w:cs="Trebuchet MS"/>
                <w:sz w:val="22"/>
                <w:szCs w:val="22"/>
              </w:rPr>
              <w:t>Thomas Pogge presents an innovative way of regulating the pharmaceutical industry so that 99% of those who need medications, can access them.</w:t>
            </w:r>
          </w:p>
        </w:tc>
      </w:tr>
    </w:tbl>
    <w:p w:rsidR="00AA4C5D" w:rsidRDefault="00AA4C5D">
      <w:pPr>
        <w:autoSpaceDE w:val="0"/>
        <w:autoSpaceDN w:val="0"/>
        <w:adjustRightInd w:val="0"/>
        <w:rPr>
          <w:sz w:val="22"/>
          <w:szCs w:val="22"/>
          <w:lang w:eastAsia="en-Z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0"/>
      </w:tblGrid>
      <w:tr w:rsidR="00AB7884" w:rsidRPr="0034040D">
        <w:tc>
          <w:tcPr>
            <w:tcW w:w="8460" w:type="dxa"/>
          </w:tcPr>
          <w:p w:rsidR="00AB7884" w:rsidRPr="0034040D" w:rsidRDefault="00AB7884">
            <w:pPr>
              <w:pStyle w:val="ListParagraph"/>
              <w:spacing w:before="120" w:after="120"/>
              <w:ind w:left="0"/>
              <w:rPr>
                <w:rFonts w:ascii="Trebuchet MS" w:eastAsiaTheme="minorEastAsia" w:hAnsi="Trebuchet MS" w:cs="Trebuchet MS"/>
                <w:b/>
                <w:bCs/>
                <w:sz w:val="22"/>
                <w:szCs w:val="22"/>
                <w:lang w:eastAsia="en-ZA"/>
              </w:rPr>
            </w:pPr>
            <w:r w:rsidRPr="0034040D">
              <w:rPr>
                <w:rFonts w:ascii="Trebuchet MS" w:eastAsiaTheme="minorEastAsia" w:hAnsi="Trebuchet MS" w:cs="Trebuchet MS"/>
                <w:b/>
                <w:bCs/>
                <w:sz w:val="22"/>
                <w:szCs w:val="22"/>
                <w:lang w:eastAsia="en-ZA"/>
              </w:rPr>
              <w:t xml:space="preserve">TASK 6 </w:t>
            </w:r>
            <w:r w:rsidRPr="0034040D">
              <w:rPr>
                <w:rFonts w:eastAsiaTheme="minorEastAsia"/>
                <w:sz w:val="22"/>
                <w:szCs w:val="22"/>
                <w:lang w:eastAsia="en-ZA"/>
              </w:rPr>
              <w:t>─</w:t>
            </w:r>
            <w:r w:rsidRPr="0034040D">
              <w:rPr>
                <w:rFonts w:ascii="Trebuchet MS" w:eastAsiaTheme="minorEastAsia" w:hAnsi="Trebuchet MS" w:cs="Trebuchet MS"/>
                <w:b/>
                <w:bCs/>
                <w:sz w:val="22"/>
                <w:szCs w:val="22"/>
                <w:lang w:eastAsia="en-ZA"/>
              </w:rPr>
              <w:t xml:space="preserve"> Give your opinion </w:t>
            </w:r>
          </w:p>
          <w:p w:rsidR="00AB7884" w:rsidRPr="0034040D" w:rsidRDefault="00AB7884">
            <w:pPr>
              <w:pStyle w:val="ListParagraph"/>
              <w:spacing w:before="120" w:after="120"/>
              <w:ind w:left="0"/>
              <w:rPr>
                <w:rFonts w:ascii="Trebuchet MS" w:eastAsiaTheme="minorEastAsia" w:hAnsi="Trebuchet MS" w:cs="Trebuchet MS"/>
                <w:b/>
                <w:bCs/>
                <w:sz w:val="22"/>
                <w:szCs w:val="22"/>
                <w:lang w:eastAsia="en-ZA"/>
              </w:rPr>
            </w:pPr>
            <w:r w:rsidRPr="0034040D">
              <w:rPr>
                <w:rFonts w:ascii="Trebuchet MS" w:eastAsiaTheme="minorEastAsia" w:hAnsi="Trebuchet MS" w:cs="Trebuchet MS"/>
                <w:b/>
                <w:bCs/>
                <w:sz w:val="22"/>
                <w:szCs w:val="22"/>
                <w:lang w:eastAsia="en-ZA"/>
              </w:rPr>
              <w:t xml:space="preserve">READING </w:t>
            </w:r>
          </w:p>
          <w:p w:rsidR="00AB7884" w:rsidRPr="0034040D" w:rsidRDefault="00AB7884">
            <w:pPr>
              <w:spacing w:after="240"/>
              <w:rPr>
                <w:rFonts w:ascii="Trebuchet MS" w:eastAsiaTheme="minorEastAsia" w:hAnsi="Trebuchet MS" w:cs="Trebuchet MS"/>
                <w:sz w:val="22"/>
                <w:szCs w:val="22"/>
              </w:rPr>
            </w:pPr>
            <w:r w:rsidRPr="0034040D">
              <w:rPr>
                <w:rFonts w:ascii="Trebuchet MS" w:eastAsiaTheme="minorEastAsia" w:hAnsi="Trebuchet MS" w:cs="Trebuchet MS"/>
                <w:sz w:val="22"/>
                <w:szCs w:val="22"/>
              </w:rPr>
              <w:t>People’s Health Movement, Medact, Health Action International, Medico’s International and Third World Network. (</w:t>
            </w:r>
            <w:r w:rsidRPr="0034040D">
              <w:rPr>
                <w:rFonts w:eastAsiaTheme="minorEastAsia"/>
                <w:sz w:val="22"/>
                <w:szCs w:val="22"/>
              </w:rPr>
              <w:t xml:space="preserve">2012). The pharmaceutical industry and pharmaceutical endeavour. </w:t>
            </w:r>
            <w:r w:rsidRPr="0034040D">
              <w:rPr>
                <w:rFonts w:eastAsiaTheme="minorEastAsia"/>
                <w:i/>
                <w:iCs/>
                <w:sz w:val="22"/>
                <w:szCs w:val="22"/>
              </w:rPr>
              <w:t xml:space="preserve">Global Health Watch </w:t>
            </w:r>
            <w:r w:rsidRPr="00462DAC">
              <w:rPr>
                <w:rFonts w:eastAsiaTheme="minorEastAsia"/>
                <w:b/>
                <w:i/>
                <w:iCs/>
                <w:sz w:val="28"/>
                <w:szCs w:val="28"/>
              </w:rPr>
              <w:t>3:</w:t>
            </w:r>
            <w:r w:rsidRPr="0034040D">
              <w:rPr>
                <w:rFonts w:eastAsiaTheme="minorEastAsia"/>
                <w:i/>
                <w:iCs/>
                <w:sz w:val="22"/>
                <w:szCs w:val="22"/>
              </w:rPr>
              <w:t xml:space="preserve"> An Alternative World Health Rep</w:t>
            </w:r>
            <w:r w:rsidRPr="0034040D">
              <w:rPr>
                <w:rFonts w:eastAsiaTheme="minorEastAsia"/>
                <w:sz w:val="22"/>
                <w:szCs w:val="22"/>
              </w:rPr>
              <w:t>ort. Zed Books Ltd: London &amp; New York: 275-288.</w:t>
            </w:r>
          </w:p>
          <w:p w:rsidR="00AB7884" w:rsidRPr="0034040D" w:rsidRDefault="00AB7884">
            <w:pPr>
              <w:spacing w:after="120"/>
              <w:rPr>
                <w:rFonts w:ascii="Trebuchet MS" w:eastAsiaTheme="minorEastAsia" w:hAnsi="Trebuchet MS" w:cs="Trebuchet MS"/>
                <w:b/>
                <w:bCs/>
                <w:sz w:val="22"/>
                <w:szCs w:val="22"/>
                <w:lang w:eastAsia="en-ZA"/>
              </w:rPr>
            </w:pPr>
            <w:r w:rsidRPr="0034040D">
              <w:rPr>
                <w:rFonts w:ascii="Trebuchet MS" w:eastAsiaTheme="minorEastAsia" w:hAnsi="Trebuchet MS" w:cs="Trebuchet MS"/>
                <w:sz w:val="22"/>
                <w:szCs w:val="22"/>
              </w:rPr>
              <w:t xml:space="preserve">After watching the above </w:t>
            </w:r>
            <w:r w:rsidR="00462DAC">
              <w:rPr>
                <w:rFonts w:ascii="Trebuchet MS" w:eastAsiaTheme="minorEastAsia" w:hAnsi="Trebuchet MS" w:cs="Trebuchet MS"/>
                <w:sz w:val="22"/>
                <w:szCs w:val="22"/>
              </w:rPr>
              <w:t>internet clip</w:t>
            </w:r>
            <w:r w:rsidRPr="0034040D">
              <w:rPr>
                <w:rFonts w:ascii="Trebuchet MS" w:eastAsiaTheme="minorEastAsia" w:hAnsi="Trebuchet MS" w:cs="Trebuchet MS"/>
                <w:sz w:val="22"/>
                <w:szCs w:val="22"/>
              </w:rPr>
              <w:t xml:space="preserve"> and reading the above chapter, answer these questions:</w:t>
            </w:r>
          </w:p>
          <w:p w:rsidR="00AB7884" w:rsidRPr="0034040D" w:rsidRDefault="00AB7884" w:rsidP="007F44B4">
            <w:pPr>
              <w:numPr>
                <w:ilvl w:val="0"/>
                <w:numId w:val="46"/>
              </w:numPr>
              <w:autoSpaceDE w:val="0"/>
              <w:autoSpaceDN w:val="0"/>
              <w:adjustRightInd w:val="0"/>
              <w:rPr>
                <w:rFonts w:ascii="Trebuchet MS" w:eastAsiaTheme="minorEastAsia" w:hAnsi="Trebuchet MS" w:cs="Trebuchet MS"/>
                <w:b/>
                <w:bCs/>
                <w:sz w:val="23"/>
                <w:szCs w:val="23"/>
                <w:lang w:val="en-ZA" w:eastAsia="en-ZA"/>
              </w:rPr>
            </w:pPr>
            <w:r w:rsidRPr="0034040D">
              <w:rPr>
                <w:rFonts w:ascii="Trebuchet MS" w:eastAsiaTheme="minorEastAsia" w:hAnsi="Trebuchet MS" w:cs="Trebuchet MS"/>
                <w:sz w:val="22"/>
                <w:szCs w:val="22"/>
                <w:lang w:eastAsia="en-ZA"/>
              </w:rPr>
              <w:t xml:space="preserve">Under the current global pharmaceutical system, what would be fair trade for pharmaceutical companies, as well as for LMICs that need the essential medications? </w:t>
            </w:r>
          </w:p>
          <w:p w:rsidR="00AB7884" w:rsidRPr="0034040D" w:rsidRDefault="00AB7884" w:rsidP="007F44B4">
            <w:pPr>
              <w:numPr>
                <w:ilvl w:val="0"/>
                <w:numId w:val="46"/>
              </w:numPr>
              <w:autoSpaceDE w:val="0"/>
              <w:autoSpaceDN w:val="0"/>
              <w:adjustRightInd w:val="0"/>
              <w:spacing w:after="120"/>
              <w:ind w:left="357" w:hanging="357"/>
              <w:rPr>
                <w:rFonts w:ascii="Trebuchet MS" w:eastAsiaTheme="minorEastAsia" w:hAnsi="Trebuchet MS" w:cs="Trebuchet MS"/>
                <w:b/>
                <w:bCs/>
                <w:sz w:val="23"/>
                <w:szCs w:val="23"/>
                <w:lang w:val="en-ZA" w:eastAsia="en-ZA"/>
              </w:rPr>
            </w:pPr>
            <w:r w:rsidRPr="0034040D">
              <w:rPr>
                <w:rFonts w:ascii="Trebuchet MS" w:eastAsiaTheme="minorEastAsia" w:hAnsi="Trebuchet MS" w:cs="Trebuchet MS"/>
                <w:sz w:val="22"/>
                <w:szCs w:val="22"/>
                <w:lang w:eastAsia="en-ZA"/>
              </w:rPr>
              <w:t>What do you think a new pharmaceutical industry and endeavour should look like?</w:t>
            </w:r>
          </w:p>
        </w:tc>
      </w:tr>
    </w:tbl>
    <w:p w:rsidR="00AB7884" w:rsidRDefault="00AB7884">
      <w:pPr>
        <w:pStyle w:val="Heading2"/>
        <w:spacing w:before="0"/>
        <w:rPr>
          <w:rFonts w:ascii="Trebuchet MS" w:hAnsi="Trebuchet MS" w:cs="Trebuchet MS"/>
          <w:sz w:val="22"/>
          <w:szCs w:val="22"/>
        </w:rPr>
      </w:pPr>
    </w:p>
    <w:p w:rsidR="00AB7884" w:rsidRDefault="00AB7884">
      <w:pPr>
        <w:pStyle w:val="CommentText"/>
      </w:pPr>
    </w:p>
    <w:p w:rsidR="00AB7884" w:rsidRDefault="00AB7884">
      <w:pPr>
        <w:pStyle w:val="Heading2"/>
        <w:spacing w:before="0"/>
        <w:rPr>
          <w:rFonts w:ascii="Trebuchet MS" w:hAnsi="Trebuchet MS" w:cs="Trebuchet MS"/>
          <w:color w:val="FF0000"/>
          <w:sz w:val="24"/>
          <w:szCs w:val="24"/>
        </w:rPr>
      </w:pPr>
      <w:r>
        <w:rPr>
          <w:rFonts w:ascii="Trebuchet MS" w:hAnsi="Trebuchet MS" w:cs="Trebuchet MS"/>
          <w:sz w:val="28"/>
          <w:szCs w:val="28"/>
        </w:rPr>
        <w:t xml:space="preserve">6 </w:t>
      </w:r>
      <w:r>
        <w:rPr>
          <w:rFonts w:ascii="Trebuchet MS" w:hAnsi="Trebuchet MS" w:cs="Trebuchet MS"/>
          <w:sz w:val="28"/>
          <w:szCs w:val="28"/>
        </w:rPr>
        <w:tab/>
        <w:t>SESSION SUMMARY</w:t>
      </w:r>
    </w:p>
    <w:p w:rsidR="00AB7884" w:rsidRDefault="00717A10">
      <w:pPr>
        <w:rPr>
          <w:rFonts w:ascii="Trebuchet MS" w:hAnsi="Trebuchet MS" w:cs="Trebuchet MS"/>
          <w:b/>
          <w:bCs/>
          <w:sz w:val="18"/>
          <w:szCs w:val="18"/>
        </w:rPr>
      </w:pPr>
      <w:r w:rsidRPr="00717A10">
        <w:rPr>
          <w:color w:val="FF0000"/>
          <w:sz w:val="24"/>
          <w:szCs w:val="24"/>
        </w:rPr>
        <w:pict>
          <v:rect id="_x0000_i1082" style="width:425.2pt;height:2pt" o:hralign="center" o:hrstd="t" o:hrnoshade="t" o:hr="t" fillcolor="black" stroked="f"/>
        </w:pict>
      </w:r>
    </w:p>
    <w:p w:rsidR="00AB7884" w:rsidRDefault="00AB7884">
      <w:pPr>
        <w:autoSpaceDE w:val="0"/>
        <w:autoSpaceDN w:val="0"/>
        <w:adjustRightInd w:val="0"/>
        <w:spacing w:before="120"/>
        <w:rPr>
          <w:sz w:val="22"/>
          <w:szCs w:val="22"/>
          <w:lang w:val="en-ZA" w:eastAsia="en-ZA"/>
        </w:rPr>
      </w:pPr>
      <w:r>
        <w:rPr>
          <w:sz w:val="22"/>
          <w:szCs w:val="22"/>
          <w:lang w:val="en-ZA" w:eastAsia="en-ZA"/>
        </w:rPr>
        <w:t xml:space="preserve">Since the creation of the WTO and TRIPs, developing countries have struggled to achieve a good balance between protecting public health and complying with the TRIPS Agreement. Various agreements have been signed to reaffirm that the TRIPS Agreement should be interpreted in a way that supports WTO members' right to protect public health and, in particular, to promote access to medicines for all. However, Big Pharma has used bilateral, regional and multinational trade agreements to limit developing countries’ access to medicines and they have lobbied for stricter regulations and for the stricter enforcement of these. </w:t>
      </w:r>
    </w:p>
    <w:p w:rsidR="00AB7884" w:rsidRDefault="00AB7884">
      <w:pPr>
        <w:autoSpaceDE w:val="0"/>
        <w:autoSpaceDN w:val="0"/>
        <w:adjustRightInd w:val="0"/>
        <w:rPr>
          <w:sz w:val="22"/>
          <w:szCs w:val="22"/>
          <w:lang w:val="en-ZA" w:eastAsia="en-ZA"/>
        </w:rPr>
      </w:pPr>
    </w:p>
    <w:p w:rsidR="00AB7884" w:rsidRDefault="00AB7884">
      <w:pPr>
        <w:autoSpaceDE w:val="0"/>
        <w:autoSpaceDN w:val="0"/>
        <w:adjustRightInd w:val="0"/>
        <w:rPr>
          <w:sz w:val="22"/>
          <w:szCs w:val="22"/>
          <w:lang w:val="en-ZA" w:eastAsia="en-ZA"/>
        </w:rPr>
      </w:pPr>
      <w:r>
        <w:rPr>
          <w:sz w:val="22"/>
          <w:szCs w:val="22"/>
          <w:lang w:val="en-ZA" w:eastAsia="en-ZA"/>
        </w:rPr>
        <w:t>Despite this, developing countries have found ways to procure essential medicines at more affordable prices, from both generic and brand companies. Costs are still high, and will continue to increase in the long-term, especially if new multinational trade agreements come into force. This makes it necessary to continually scrutinise the global trade in pharmaceuticals, analyse its impact on the health of our populations, and to try to find new ways of regulating the industry so that it works in the interests of health for all.</w:t>
      </w:r>
    </w:p>
    <w:p w:rsidR="00AB7884" w:rsidRDefault="00AB7884">
      <w:pPr>
        <w:autoSpaceDE w:val="0"/>
        <w:autoSpaceDN w:val="0"/>
        <w:adjustRightInd w:val="0"/>
        <w:rPr>
          <w:rFonts w:ascii="Trebuchet MS" w:hAnsi="Trebuchet MS" w:cs="Trebuchet MS"/>
          <w:b/>
          <w:bCs/>
          <w:sz w:val="22"/>
          <w:szCs w:val="22"/>
        </w:rPr>
      </w:pPr>
      <w:r>
        <w:rPr>
          <w:sz w:val="22"/>
          <w:szCs w:val="22"/>
          <w:lang w:val="en-ZA" w:eastAsia="en-ZA"/>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9"/>
      </w:tblGrid>
      <w:tr w:rsidR="00AB7884" w:rsidRPr="0034040D">
        <w:tc>
          <w:tcPr>
            <w:tcW w:w="8721" w:type="dxa"/>
          </w:tcPr>
          <w:p w:rsidR="00AB7884" w:rsidRPr="0034040D" w:rsidRDefault="00AB7884">
            <w:pPr>
              <w:autoSpaceDE w:val="0"/>
              <w:autoSpaceDN w:val="0"/>
              <w:adjustRightInd w:val="0"/>
              <w:spacing w:before="120"/>
              <w:rPr>
                <w:rFonts w:ascii="Trebuchet MS" w:eastAsiaTheme="minorEastAsia" w:hAnsi="Trebuchet MS" w:cs="Trebuchet MS"/>
                <w:sz w:val="22"/>
                <w:szCs w:val="22"/>
                <w:lang w:val="en-ZA" w:eastAsia="en-ZA"/>
              </w:rPr>
            </w:pPr>
            <w:r w:rsidRPr="0034040D">
              <w:rPr>
                <w:rFonts w:ascii="Trebuchet MS" w:eastAsiaTheme="minorEastAsia" w:hAnsi="Trebuchet MS" w:cs="Trebuchet MS"/>
                <w:b/>
                <w:bCs/>
                <w:sz w:val="22"/>
                <w:szCs w:val="22"/>
              </w:rPr>
              <w:t>Critically reflect on the following questions:</w:t>
            </w:r>
            <w:r w:rsidRPr="0034040D">
              <w:rPr>
                <w:rFonts w:ascii="Trebuchet MS" w:eastAsiaTheme="minorEastAsia" w:hAnsi="Trebuchet MS" w:cs="Trebuchet MS"/>
                <w:b/>
                <w:bCs/>
                <w:sz w:val="22"/>
                <w:szCs w:val="22"/>
                <w:lang w:val="en-ZA" w:eastAsia="nb-NO"/>
              </w:rPr>
              <w:br/>
            </w:r>
            <w:r w:rsidRPr="0034040D">
              <w:rPr>
                <w:rFonts w:ascii="Trebuchet MS" w:eastAsiaTheme="minorEastAsia" w:hAnsi="Trebuchet MS" w:cs="Trebuchet MS"/>
                <w:sz w:val="22"/>
                <w:szCs w:val="22"/>
                <w:lang w:val="en-ZA" w:eastAsia="nb-NO"/>
              </w:rPr>
              <w:t>1.</w:t>
            </w:r>
            <w:r w:rsidRPr="0034040D">
              <w:rPr>
                <w:rFonts w:ascii="Trebuchet MS" w:eastAsiaTheme="minorEastAsia" w:hAnsi="Trebuchet MS" w:cs="Trebuchet MS"/>
                <w:b/>
                <w:bCs/>
                <w:sz w:val="22"/>
                <w:szCs w:val="22"/>
                <w:lang w:val="en-ZA" w:eastAsia="nb-NO"/>
              </w:rPr>
              <w:t xml:space="preserve"> </w:t>
            </w:r>
            <w:r w:rsidRPr="0034040D">
              <w:rPr>
                <w:rFonts w:ascii="Trebuchet MS" w:eastAsiaTheme="minorEastAsia" w:hAnsi="Trebuchet MS" w:cs="Trebuchet MS"/>
                <w:sz w:val="22"/>
                <w:szCs w:val="22"/>
                <w:lang w:val="en-ZA" w:eastAsia="en-ZA"/>
              </w:rPr>
              <w:t>In what ways has your country and/or local community benefited from the global pharmaceutical trade?</w:t>
            </w:r>
          </w:p>
          <w:p w:rsidR="00AB7884" w:rsidRPr="0034040D" w:rsidRDefault="00AB7884">
            <w:pPr>
              <w:autoSpaceDE w:val="0"/>
              <w:autoSpaceDN w:val="0"/>
              <w:adjustRightInd w:val="0"/>
              <w:rPr>
                <w:rFonts w:ascii="Trebuchet MS" w:eastAsiaTheme="minorEastAsia" w:hAnsi="Trebuchet MS" w:cs="Trebuchet MS"/>
                <w:sz w:val="22"/>
                <w:szCs w:val="22"/>
                <w:lang w:val="en-ZA" w:eastAsia="en-ZA"/>
              </w:rPr>
            </w:pPr>
            <w:r w:rsidRPr="0034040D">
              <w:rPr>
                <w:rFonts w:ascii="Trebuchet MS" w:eastAsiaTheme="minorEastAsia" w:hAnsi="Trebuchet MS" w:cs="Trebuchet MS"/>
                <w:sz w:val="22"/>
                <w:szCs w:val="22"/>
                <w:lang w:val="en-ZA" w:eastAsia="en-ZA"/>
              </w:rPr>
              <w:t>2. In what ways has your country not benefited?</w:t>
            </w:r>
          </w:p>
          <w:p w:rsidR="00AB7884" w:rsidRPr="0034040D" w:rsidRDefault="00AB7884">
            <w:pPr>
              <w:autoSpaceDE w:val="0"/>
              <w:autoSpaceDN w:val="0"/>
              <w:adjustRightInd w:val="0"/>
              <w:spacing w:after="120"/>
              <w:rPr>
                <w:rFonts w:ascii="Trebuchet MS" w:eastAsiaTheme="minorEastAsia" w:hAnsi="Trebuchet MS" w:cs="Trebuchet MS"/>
                <w:b/>
                <w:bCs/>
                <w:sz w:val="22"/>
                <w:szCs w:val="22"/>
              </w:rPr>
            </w:pPr>
            <w:r w:rsidRPr="0034040D">
              <w:rPr>
                <w:rFonts w:ascii="Trebuchet MS" w:eastAsiaTheme="minorEastAsia" w:hAnsi="Trebuchet MS" w:cs="Trebuchet MS"/>
                <w:sz w:val="22"/>
                <w:szCs w:val="22"/>
                <w:lang w:val="en-ZA" w:eastAsia="en-ZA"/>
              </w:rPr>
              <w:t>3. What have been the challenges?</w:t>
            </w:r>
          </w:p>
        </w:tc>
      </w:tr>
    </w:tbl>
    <w:p w:rsidR="00AB7884" w:rsidRDefault="00AB7884">
      <w:pPr>
        <w:pStyle w:val="Heading2"/>
        <w:spacing w:before="0"/>
        <w:rPr>
          <w:rFonts w:ascii="Trebuchet MS" w:hAnsi="Trebuchet MS" w:cs="Trebuchet MS"/>
          <w:sz w:val="22"/>
          <w:szCs w:val="22"/>
        </w:rPr>
      </w:pPr>
    </w:p>
    <w:p w:rsidR="00AB7884" w:rsidRDefault="00AB7884"/>
    <w:p w:rsidR="00AB7884" w:rsidRDefault="00AB7884">
      <w:pPr>
        <w:pStyle w:val="Heading2"/>
        <w:spacing w:before="0"/>
        <w:rPr>
          <w:rFonts w:ascii="Trebuchet MS" w:hAnsi="Trebuchet MS" w:cs="Trebuchet MS"/>
          <w:color w:val="FF0000"/>
          <w:sz w:val="28"/>
          <w:szCs w:val="28"/>
        </w:rPr>
      </w:pPr>
      <w:r>
        <w:rPr>
          <w:rFonts w:ascii="Trebuchet MS" w:hAnsi="Trebuchet MS" w:cs="Trebuchet MS"/>
          <w:sz w:val="28"/>
          <w:szCs w:val="28"/>
        </w:rPr>
        <w:t>7</w:t>
      </w:r>
      <w:r>
        <w:rPr>
          <w:rFonts w:ascii="Trebuchet MS" w:hAnsi="Trebuchet MS" w:cs="Trebuchet MS"/>
          <w:sz w:val="28"/>
          <w:szCs w:val="28"/>
        </w:rPr>
        <w:tab/>
        <w:t>REFERENCES AND FURTHER READING</w:t>
      </w:r>
    </w:p>
    <w:p w:rsidR="00AB7884" w:rsidRDefault="00717A10">
      <w:pPr>
        <w:rPr>
          <w:rFonts w:ascii="Trebuchet MS" w:hAnsi="Trebuchet MS" w:cs="Trebuchet MS"/>
          <w:b/>
          <w:bCs/>
          <w:sz w:val="18"/>
          <w:szCs w:val="18"/>
        </w:rPr>
      </w:pPr>
      <w:r w:rsidRPr="00717A10">
        <w:rPr>
          <w:color w:val="FF0000"/>
          <w:sz w:val="24"/>
          <w:szCs w:val="24"/>
        </w:rPr>
        <w:pict>
          <v:rect id="_x0000_i1083" style="width:425.2pt;height:2pt" o:hralign="center" o:hrstd="t" o:hrnoshade="t" o:hr="t" fillcolor="black" stroked="f"/>
        </w:pict>
      </w:r>
    </w:p>
    <w:p w:rsidR="00AB7884" w:rsidRDefault="00AB7884" w:rsidP="00556CD8">
      <w:pPr>
        <w:spacing w:before="120" w:after="120"/>
        <w:rPr>
          <w:rStyle w:val="texto11"/>
          <w:sz w:val="22"/>
          <w:szCs w:val="22"/>
        </w:rPr>
      </w:pPr>
      <w:r>
        <w:rPr>
          <w:rStyle w:val="texto11"/>
          <w:sz w:val="22"/>
          <w:szCs w:val="22"/>
        </w:rPr>
        <w:t xml:space="preserve">Aldis, W.L. (2006). It could be a matter of life and death. </w:t>
      </w:r>
      <w:r>
        <w:rPr>
          <w:rStyle w:val="texto11"/>
          <w:i/>
          <w:iCs/>
          <w:sz w:val="22"/>
          <w:szCs w:val="22"/>
        </w:rPr>
        <w:t>Bangkok</w:t>
      </w:r>
      <w:r>
        <w:rPr>
          <w:rStyle w:val="texto11"/>
          <w:sz w:val="22"/>
          <w:szCs w:val="22"/>
        </w:rPr>
        <w:t xml:space="preserve"> </w:t>
      </w:r>
      <w:r>
        <w:rPr>
          <w:rStyle w:val="texto11"/>
          <w:i/>
          <w:iCs/>
          <w:sz w:val="22"/>
          <w:szCs w:val="22"/>
        </w:rPr>
        <w:t>Post</w:t>
      </w:r>
      <w:r>
        <w:rPr>
          <w:rStyle w:val="texto11"/>
          <w:sz w:val="22"/>
          <w:szCs w:val="22"/>
        </w:rPr>
        <w:t>, 9 January, 2006.</w:t>
      </w:r>
    </w:p>
    <w:p w:rsidR="00AB7884" w:rsidRDefault="00AB7884">
      <w:pPr>
        <w:spacing w:after="120"/>
        <w:rPr>
          <w:sz w:val="22"/>
          <w:szCs w:val="22"/>
        </w:rPr>
      </w:pPr>
      <w:r>
        <w:rPr>
          <w:sz w:val="22"/>
          <w:szCs w:val="22"/>
        </w:rPr>
        <w:t xml:space="preserve">Avert (Averting HIV and AIDS). (2011). </w:t>
      </w:r>
      <w:r>
        <w:rPr>
          <w:i/>
          <w:iCs/>
          <w:sz w:val="22"/>
          <w:szCs w:val="22"/>
        </w:rPr>
        <w:t>HIV and AIDS history</w:t>
      </w:r>
      <w:r>
        <w:rPr>
          <w:sz w:val="22"/>
          <w:szCs w:val="22"/>
        </w:rPr>
        <w:t xml:space="preserve">. [Online], Available: </w:t>
      </w:r>
      <w:hyperlink r:id="rId91" w:history="1">
        <w:r>
          <w:rPr>
            <w:rStyle w:val="Hyperlink"/>
            <w:rFonts w:ascii="Arial" w:hAnsi="Arial" w:cs="Arial"/>
            <w:sz w:val="22"/>
            <w:szCs w:val="22"/>
            <w:u w:val="none"/>
          </w:rPr>
          <w:t>www.avert.org/hiv-aids-history.htm</w:t>
        </w:r>
      </w:hyperlink>
      <w:r>
        <w:rPr>
          <w:sz w:val="22"/>
          <w:szCs w:val="22"/>
        </w:rPr>
        <w:t xml:space="preserve"> [Downloaded: 14/08/2011].</w:t>
      </w:r>
    </w:p>
    <w:p w:rsidR="00AB7884" w:rsidRDefault="00AB7884">
      <w:pPr>
        <w:spacing w:after="120"/>
        <w:rPr>
          <w:sz w:val="22"/>
          <w:szCs w:val="22"/>
          <w:lang w:val="en-ZA" w:eastAsia="en-ZA"/>
        </w:rPr>
      </w:pPr>
      <w:r>
        <w:rPr>
          <w:sz w:val="22"/>
          <w:szCs w:val="22"/>
          <w:lang w:val="en-ZA" w:eastAsia="en-ZA"/>
        </w:rPr>
        <w:t xml:space="preserve">Chien, C.V. (2007). HIV/AIDS Drugs for Sub-Saharan Africa: How Do Brand and Generic Supply Compare? </w:t>
      </w:r>
      <w:r>
        <w:rPr>
          <w:i/>
          <w:iCs/>
          <w:sz w:val="22"/>
          <w:szCs w:val="22"/>
          <w:lang w:val="en-ZA" w:eastAsia="en-ZA"/>
        </w:rPr>
        <w:t>PLoS ONE</w:t>
      </w:r>
      <w:r>
        <w:rPr>
          <w:sz w:val="22"/>
          <w:szCs w:val="22"/>
          <w:lang w:val="en-ZA" w:eastAsia="en-ZA"/>
        </w:rPr>
        <w:t xml:space="preserve"> 2(3): e278. doi:10.1371/journal.pone.0000278.</w:t>
      </w:r>
    </w:p>
    <w:p w:rsidR="00AB7884" w:rsidRDefault="00AB7884">
      <w:pPr>
        <w:spacing w:after="120"/>
        <w:rPr>
          <w:sz w:val="22"/>
          <w:szCs w:val="22"/>
          <w:lang w:val="en-ZA" w:eastAsia="en-ZA"/>
        </w:rPr>
      </w:pPr>
      <w:r>
        <w:rPr>
          <w:sz w:val="22"/>
          <w:szCs w:val="22"/>
          <w:lang w:val="en-ZA" w:eastAsia="en-ZA"/>
        </w:rPr>
        <w:t xml:space="preserve">Cleary, S.M., McIntyre, D. &amp; Boulle, A.M. (2006). The cost-effectiveness of Antiretroviral Treatment in Khayelitsha, South Africa ─ a primary data analysis. </w:t>
      </w:r>
      <w:r>
        <w:rPr>
          <w:i/>
          <w:iCs/>
          <w:sz w:val="22"/>
          <w:szCs w:val="22"/>
          <w:lang w:val="en-ZA" w:eastAsia="en-ZA"/>
        </w:rPr>
        <w:t>BioMed Central Ltd</w:t>
      </w:r>
      <w:r>
        <w:rPr>
          <w:sz w:val="22"/>
          <w:szCs w:val="22"/>
          <w:lang w:val="en-ZA" w:eastAsia="en-ZA"/>
        </w:rPr>
        <w:t xml:space="preserve">. </w:t>
      </w:r>
    </w:p>
    <w:p w:rsidR="00AB7884" w:rsidRDefault="00AB7884">
      <w:pPr>
        <w:spacing w:after="120"/>
        <w:rPr>
          <w:i/>
          <w:iCs/>
          <w:sz w:val="22"/>
          <w:szCs w:val="22"/>
          <w:lang w:val="en-ZA" w:eastAsia="en-ZA"/>
        </w:rPr>
      </w:pPr>
      <w:r>
        <w:rPr>
          <w:sz w:val="22"/>
          <w:szCs w:val="22"/>
          <w:lang w:val="en-ZA" w:eastAsia="en-ZA"/>
        </w:rPr>
        <w:t xml:space="preserve">Doctors Without Borders/Médecins Sans Frontières (MSF). (2011). How the Trans-Pacific Partnership Agreement Threatens Access to Medicines, </w:t>
      </w:r>
      <w:r>
        <w:rPr>
          <w:i/>
          <w:iCs/>
          <w:sz w:val="22"/>
          <w:szCs w:val="22"/>
          <w:lang w:val="en-ZA" w:eastAsia="en-ZA"/>
        </w:rPr>
        <w:t>TPP Issue Brief – September 2011.</w:t>
      </w:r>
    </w:p>
    <w:p w:rsidR="00AB7884" w:rsidRDefault="00AB7884">
      <w:pPr>
        <w:spacing w:after="120"/>
        <w:rPr>
          <w:rStyle w:val="Hyperlink"/>
          <w:rFonts w:ascii="Arial" w:hAnsi="Arial" w:cs="Arial"/>
          <w:sz w:val="22"/>
          <w:szCs w:val="22"/>
          <w:u w:val="none"/>
        </w:rPr>
      </w:pPr>
      <w:r>
        <w:rPr>
          <w:sz w:val="22"/>
          <w:szCs w:val="22"/>
        </w:rPr>
        <w:t xml:space="preserve">Dupre, D. (2009). H1N1 October surprise prevention. Global Research, August 22, 2009. [Online], Available: </w:t>
      </w:r>
      <w:hyperlink r:id="rId92" w:history="1">
        <w:r>
          <w:rPr>
            <w:rStyle w:val="Hyperlink"/>
            <w:rFonts w:ascii="Arial" w:hAnsi="Arial" w:cs="Arial"/>
            <w:sz w:val="22"/>
            <w:szCs w:val="22"/>
            <w:u w:val="none"/>
          </w:rPr>
          <w:t>http://www.globalresearch.ca/index.php?context=va&amp;aid=14884</w:t>
        </w:r>
      </w:hyperlink>
      <w:r>
        <w:rPr>
          <w:rStyle w:val="Hyperlink"/>
          <w:rFonts w:ascii="Arial" w:hAnsi="Arial" w:cs="Arial"/>
          <w:sz w:val="22"/>
          <w:szCs w:val="22"/>
          <w:u w:val="none"/>
        </w:rPr>
        <w:t xml:space="preserve"> </w:t>
      </w:r>
      <w:r>
        <w:rPr>
          <w:sz w:val="22"/>
          <w:szCs w:val="22"/>
        </w:rPr>
        <w:t>[Downloaded: 14/08/2011].</w:t>
      </w:r>
    </w:p>
    <w:p w:rsidR="00AB7884" w:rsidRDefault="00AB7884">
      <w:pPr>
        <w:spacing w:after="120"/>
        <w:rPr>
          <w:sz w:val="22"/>
          <w:szCs w:val="22"/>
          <w:lang w:val="en-ZA"/>
        </w:rPr>
      </w:pPr>
      <w:r>
        <w:rPr>
          <w:sz w:val="22"/>
          <w:szCs w:val="22"/>
          <w:lang w:val="en-ZA"/>
        </w:rPr>
        <w:t xml:space="preserve">International HIV/AIDS Alliance. (2002). </w:t>
      </w:r>
      <w:r>
        <w:rPr>
          <w:i/>
          <w:iCs/>
          <w:sz w:val="22"/>
          <w:szCs w:val="22"/>
          <w:lang w:val="en-ZA"/>
        </w:rPr>
        <w:t xml:space="preserve">Improving access to HIV/AIDS-related treatment: A report sharing experiences and lessons learned on improving access to HIV/AIDS-related treatment. </w:t>
      </w:r>
      <w:r>
        <w:rPr>
          <w:sz w:val="22"/>
          <w:szCs w:val="22"/>
          <w:lang w:val="en-ZA"/>
        </w:rPr>
        <w:t>International HIV/AIDS Alliance.</w:t>
      </w:r>
    </w:p>
    <w:p w:rsidR="00AB7884" w:rsidRDefault="00AB7884">
      <w:pPr>
        <w:spacing w:after="120"/>
        <w:rPr>
          <w:sz w:val="22"/>
          <w:szCs w:val="22"/>
          <w:lang w:val="en-ZA"/>
        </w:rPr>
      </w:pPr>
      <w:r>
        <w:rPr>
          <w:sz w:val="22"/>
          <w:szCs w:val="22"/>
          <w:lang w:val="en-ZA"/>
        </w:rPr>
        <w:t>Kerry, V. &amp; Lee, K. (2007). TRIPS, the Doha declaration and paragraph 6 decision: what are the remaining steps for protecting access to medicines?</w:t>
      </w:r>
      <w:r>
        <w:rPr>
          <w:color w:val="4E67AE"/>
          <w:sz w:val="22"/>
          <w:szCs w:val="22"/>
          <w:lang w:val="en-ZA"/>
        </w:rPr>
        <w:t xml:space="preserve"> </w:t>
      </w:r>
      <w:r>
        <w:rPr>
          <w:i/>
          <w:iCs/>
          <w:sz w:val="22"/>
          <w:szCs w:val="22"/>
          <w:lang w:val="en-ZA"/>
        </w:rPr>
        <w:t>BioMed Central, Globalization and Health, 2007</w:t>
      </w:r>
      <w:r>
        <w:rPr>
          <w:sz w:val="22"/>
          <w:szCs w:val="22"/>
          <w:lang w:val="en-ZA"/>
        </w:rPr>
        <w:t>, 3: 3.</w:t>
      </w:r>
    </w:p>
    <w:p w:rsidR="00AB7884" w:rsidRDefault="00AB7884">
      <w:pPr>
        <w:spacing w:after="120"/>
        <w:rPr>
          <w:sz w:val="22"/>
          <w:szCs w:val="22"/>
        </w:rPr>
      </w:pPr>
      <w:r>
        <w:rPr>
          <w:sz w:val="22"/>
          <w:szCs w:val="22"/>
        </w:rPr>
        <w:t xml:space="preserve">Kollewe, J. (2011). Pharmaceuticals struggle to find next blockbuster drugs as R&amp;D costs soar. </w:t>
      </w:r>
      <w:r>
        <w:rPr>
          <w:i/>
          <w:iCs/>
          <w:sz w:val="22"/>
          <w:szCs w:val="22"/>
        </w:rPr>
        <w:t>The Guardian</w:t>
      </w:r>
      <w:r>
        <w:rPr>
          <w:sz w:val="22"/>
          <w:szCs w:val="22"/>
        </w:rPr>
        <w:t xml:space="preserve">, Monday 21 November 2011. [Online], Available: </w:t>
      </w:r>
      <w:hyperlink r:id="rId93" w:history="1">
        <w:r>
          <w:rPr>
            <w:rStyle w:val="Hyperlink"/>
            <w:rFonts w:ascii="Arial" w:hAnsi="Arial" w:cs="Arial"/>
            <w:sz w:val="22"/>
            <w:szCs w:val="22"/>
            <w:u w:val="none"/>
          </w:rPr>
          <w:t>http://www.guardian.co.uk/business/2011/nov/21/pharmaceuticals-drug-research-costs-rise</w:t>
        </w:r>
      </w:hyperlink>
      <w:r>
        <w:rPr>
          <w:rStyle w:val="Hyperlink"/>
          <w:rFonts w:ascii="Arial" w:hAnsi="Arial" w:cs="Arial"/>
          <w:sz w:val="22"/>
          <w:szCs w:val="22"/>
          <w:u w:val="none"/>
        </w:rPr>
        <w:t xml:space="preserve"> </w:t>
      </w:r>
      <w:r>
        <w:rPr>
          <w:sz w:val="22"/>
          <w:szCs w:val="22"/>
        </w:rPr>
        <w:t>[Downloaded: 14/08/2011].</w:t>
      </w:r>
    </w:p>
    <w:p w:rsidR="00AB7884" w:rsidRDefault="00AB7884">
      <w:pPr>
        <w:spacing w:after="120"/>
        <w:rPr>
          <w:sz w:val="22"/>
          <w:szCs w:val="22"/>
          <w:lang w:eastAsia="en-ZA"/>
        </w:rPr>
      </w:pPr>
      <w:r>
        <w:rPr>
          <w:kern w:val="36"/>
          <w:sz w:val="22"/>
          <w:szCs w:val="22"/>
          <w:lang w:eastAsia="en-ZA"/>
        </w:rPr>
        <w:t xml:space="preserve">Khor, M. (2005). </w:t>
      </w:r>
      <w:r>
        <w:rPr>
          <w:sz w:val="22"/>
          <w:szCs w:val="22"/>
          <w:lang w:eastAsia="en-ZA"/>
        </w:rPr>
        <w:t xml:space="preserve">Avian flu fear sparks chase for drugs, </w:t>
      </w:r>
      <w:r>
        <w:rPr>
          <w:i/>
          <w:iCs/>
          <w:sz w:val="22"/>
          <w:szCs w:val="22"/>
          <w:lang w:eastAsia="en-ZA"/>
        </w:rPr>
        <w:t>Third World Network</w:t>
      </w:r>
      <w:r>
        <w:rPr>
          <w:sz w:val="22"/>
          <w:szCs w:val="22"/>
          <w:lang w:eastAsia="en-ZA"/>
        </w:rPr>
        <w:t>, Monday 28 November 2005.</w:t>
      </w:r>
    </w:p>
    <w:p w:rsidR="00AB7884" w:rsidRDefault="00AB7884">
      <w:pPr>
        <w:spacing w:after="120"/>
        <w:rPr>
          <w:sz w:val="22"/>
          <w:szCs w:val="22"/>
        </w:rPr>
      </w:pPr>
      <w:r>
        <w:rPr>
          <w:sz w:val="22"/>
          <w:szCs w:val="22"/>
        </w:rPr>
        <w:t xml:space="preserve">Paget-Clarke, N. (2004). An interview with Dr. Vandana Shiva, The role of patents in the rise of globalisation. </w:t>
      </w:r>
      <w:r>
        <w:rPr>
          <w:i/>
          <w:iCs/>
          <w:sz w:val="22"/>
          <w:szCs w:val="22"/>
        </w:rPr>
        <w:t>In Motion Magazine</w:t>
      </w:r>
      <w:r>
        <w:rPr>
          <w:sz w:val="22"/>
          <w:szCs w:val="22"/>
        </w:rPr>
        <w:t xml:space="preserve"> March 28, 2004.</w:t>
      </w:r>
    </w:p>
    <w:p w:rsidR="00AB7884" w:rsidRDefault="00AB7884">
      <w:pPr>
        <w:spacing w:after="120"/>
        <w:rPr>
          <w:sz w:val="22"/>
          <w:szCs w:val="22"/>
          <w:lang w:eastAsia="en-ZA"/>
        </w:rPr>
      </w:pPr>
      <w:r>
        <w:rPr>
          <w:color w:val="171715"/>
          <w:sz w:val="22"/>
          <w:szCs w:val="22"/>
          <w:lang w:val="en-ZA"/>
        </w:rPr>
        <w:t xml:space="preserve">People’s Health Movement, Medact, Global Equity Gauge Alliance. (2005). </w:t>
      </w:r>
      <w:r>
        <w:rPr>
          <w:i/>
          <w:iCs/>
          <w:color w:val="171715"/>
          <w:sz w:val="22"/>
          <w:szCs w:val="22"/>
          <w:lang w:val="en-ZA"/>
        </w:rPr>
        <w:t>Global Health Watch, 2005-2006: An Alternative World Health Report</w:t>
      </w:r>
      <w:r>
        <w:rPr>
          <w:color w:val="171715"/>
          <w:sz w:val="22"/>
          <w:szCs w:val="22"/>
          <w:lang w:val="en-ZA"/>
        </w:rPr>
        <w:t xml:space="preserve">, Zed Books Ltd, UNISA Press. </w:t>
      </w:r>
      <w:r>
        <w:rPr>
          <w:color w:val="171715"/>
          <w:sz w:val="22"/>
          <w:szCs w:val="22"/>
          <w:lang w:val="en-ZA"/>
        </w:rPr>
        <w:tab/>
      </w:r>
    </w:p>
    <w:p w:rsidR="00AB7884" w:rsidRDefault="00AB7884">
      <w:pPr>
        <w:spacing w:after="120"/>
        <w:rPr>
          <w:sz w:val="22"/>
          <w:szCs w:val="22"/>
        </w:rPr>
      </w:pPr>
      <w:r>
        <w:rPr>
          <w:sz w:val="22"/>
          <w:szCs w:val="22"/>
        </w:rPr>
        <w:lastRenderedPageBreak/>
        <w:t xml:space="preserve">People’s Health Movement, Medact, Health Action International, Medico’s International and Third World Network. (2012). </w:t>
      </w:r>
      <w:r>
        <w:rPr>
          <w:i/>
          <w:iCs/>
          <w:sz w:val="22"/>
          <w:szCs w:val="22"/>
        </w:rPr>
        <w:t xml:space="preserve">Global Health Watch 3: </w:t>
      </w:r>
      <w:r>
        <w:rPr>
          <w:i/>
          <w:iCs/>
          <w:color w:val="171715"/>
          <w:sz w:val="22"/>
          <w:szCs w:val="22"/>
          <w:lang w:val="en-ZA"/>
        </w:rPr>
        <w:t>An Alternative World Health Report</w:t>
      </w:r>
      <w:r>
        <w:rPr>
          <w:sz w:val="22"/>
          <w:szCs w:val="22"/>
        </w:rPr>
        <w:t>. Zed Books Ltd: London &amp; New York.</w:t>
      </w:r>
    </w:p>
    <w:p w:rsidR="00AB7884" w:rsidRDefault="00AB7884">
      <w:pPr>
        <w:spacing w:after="120"/>
        <w:rPr>
          <w:sz w:val="22"/>
          <w:szCs w:val="22"/>
        </w:rPr>
      </w:pPr>
      <w:r>
        <w:rPr>
          <w:sz w:val="22"/>
          <w:szCs w:val="22"/>
          <w:lang w:eastAsia="en-ZA"/>
        </w:rPr>
        <w:t xml:space="preserve">PlusNews Global HIV/AIDS news and analysis. (2011). </w:t>
      </w:r>
      <w:r>
        <w:rPr>
          <w:kern w:val="36"/>
          <w:sz w:val="22"/>
          <w:szCs w:val="22"/>
          <w:lang w:eastAsia="en-ZA"/>
        </w:rPr>
        <w:t>HIV/AIDS: Bad news for drug prices in middle-income countries</w:t>
      </w:r>
      <w:r>
        <w:rPr>
          <w:sz w:val="22"/>
          <w:szCs w:val="22"/>
        </w:rPr>
        <w:t xml:space="preserve">. [Online], Available: </w:t>
      </w:r>
      <w:hyperlink r:id="rId94" w:history="1">
        <w:r>
          <w:rPr>
            <w:rStyle w:val="Hyperlink"/>
            <w:rFonts w:ascii="Arial" w:hAnsi="Arial" w:cs="Arial"/>
            <w:kern w:val="36"/>
            <w:sz w:val="22"/>
            <w:szCs w:val="22"/>
            <w:u w:val="none"/>
            <w:lang w:eastAsia="en-ZA"/>
          </w:rPr>
          <w:t>http://www.plusnews.org/report.aspx?ReportID=93275</w:t>
        </w:r>
      </w:hyperlink>
      <w:r>
        <w:rPr>
          <w:sz w:val="22"/>
          <w:szCs w:val="22"/>
        </w:rPr>
        <w:t xml:space="preserve"> [Downloaded: 14/08/2011].</w:t>
      </w:r>
    </w:p>
    <w:p w:rsidR="00AB7884" w:rsidRDefault="00AB7884">
      <w:pPr>
        <w:spacing w:after="120"/>
        <w:rPr>
          <w:sz w:val="22"/>
          <w:szCs w:val="22"/>
        </w:rPr>
      </w:pPr>
      <w:r>
        <w:rPr>
          <w:sz w:val="22"/>
          <w:szCs w:val="22"/>
        </w:rPr>
        <w:t xml:space="preserve">Raja, K. (2010). NGOs concerned over WHO’s role in “counterfeit” drugs, Impact. </w:t>
      </w:r>
      <w:r>
        <w:rPr>
          <w:i/>
          <w:iCs/>
          <w:sz w:val="22"/>
          <w:szCs w:val="22"/>
        </w:rPr>
        <w:t xml:space="preserve">Third World Network. </w:t>
      </w:r>
      <w:r>
        <w:rPr>
          <w:sz w:val="22"/>
          <w:szCs w:val="22"/>
        </w:rPr>
        <w:t xml:space="preserve">[Online], Available: </w:t>
      </w:r>
      <w:hyperlink r:id="rId95" w:history="1">
        <w:r>
          <w:rPr>
            <w:rStyle w:val="Hyperlink"/>
            <w:rFonts w:ascii="Arial" w:hAnsi="Arial" w:cs="Arial"/>
            <w:sz w:val="22"/>
            <w:szCs w:val="22"/>
            <w:u w:val="none"/>
          </w:rPr>
          <w:t>http://www.twnside.org.sg/title2/intellectual_property/info.service/2010/ipr.info.100504.htm</w:t>
        </w:r>
      </w:hyperlink>
      <w:r>
        <w:rPr>
          <w:sz w:val="22"/>
          <w:szCs w:val="22"/>
        </w:rPr>
        <w:t xml:space="preserve"> [Downloaded: 14/08/2011].</w:t>
      </w:r>
    </w:p>
    <w:p w:rsidR="00AB7884" w:rsidRDefault="00AB7884">
      <w:pPr>
        <w:spacing w:after="120"/>
        <w:rPr>
          <w:sz w:val="22"/>
          <w:szCs w:val="22"/>
        </w:rPr>
      </w:pPr>
      <w:r>
        <w:rPr>
          <w:sz w:val="22"/>
          <w:szCs w:val="22"/>
        </w:rPr>
        <w:t>Robberstad, B. &amp; Evjen-Olsen, B. (2010).</w:t>
      </w:r>
      <w:r>
        <w:rPr>
          <w:i/>
          <w:iCs/>
          <w:sz w:val="22"/>
          <w:szCs w:val="22"/>
        </w:rPr>
        <w:t>Preventing mother to child transmission of HIV with highly active antiretroviral treatment in Tanzania ─a prospective cost-effectiveness study</w:t>
      </w:r>
      <w:r>
        <w:rPr>
          <w:sz w:val="22"/>
          <w:szCs w:val="22"/>
        </w:rPr>
        <w:t>. Center for International Health, University of Bergen, Bergen, Norway.</w:t>
      </w:r>
    </w:p>
    <w:p w:rsidR="00AB7884" w:rsidRDefault="00AB7884">
      <w:pPr>
        <w:spacing w:after="120"/>
        <w:rPr>
          <w:sz w:val="22"/>
          <w:szCs w:val="22"/>
        </w:rPr>
      </w:pPr>
      <w:r>
        <w:rPr>
          <w:sz w:val="22"/>
          <w:szCs w:val="22"/>
        </w:rPr>
        <w:t xml:space="preserve">Roth, G. (2011). Our annual look at the 10 biggest biopharmaceutical players. </w:t>
      </w:r>
      <w:r>
        <w:rPr>
          <w:i/>
          <w:iCs/>
          <w:sz w:val="22"/>
          <w:szCs w:val="22"/>
        </w:rPr>
        <w:t>Contract Pharma</w:t>
      </w:r>
      <w:r>
        <w:rPr>
          <w:sz w:val="22"/>
          <w:szCs w:val="22"/>
        </w:rPr>
        <w:t xml:space="preserve">. [Online], Available: </w:t>
      </w:r>
      <w:hyperlink r:id="rId96" w:history="1">
        <w:r>
          <w:rPr>
            <w:rStyle w:val="Hyperlink"/>
            <w:rFonts w:ascii="Arial" w:hAnsi="Arial" w:cs="Arial"/>
            <w:sz w:val="22"/>
            <w:szCs w:val="22"/>
            <w:u w:val="none"/>
          </w:rPr>
          <w:t>http://www.contractpharma.com/issues/2011-07/view_features/the-top-20-pharmaceutical-companies/</w:t>
        </w:r>
      </w:hyperlink>
      <w:r>
        <w:rPr>
          <w:kern w:val="32"/>
          <w:sz w:val="22"/>
          <w:szCs w:val="22"/>
        </w:rPr>
        <w:t xml:space="preserve"> </w:t>
      </w:r>
      <w:r>
        <w:rPr>
          <w:sz w:val="22"/>
          <w:szCs w:val="22"/>
        </w:rPr>
        <w:t>[Downloaded: 14/08/2011].</w:t>
      </w:r>
    </w:p>
    <w:p w:rsidR="00AB7884" w:rsidRDefault="00AB7884">
      <w:pPr>
        <w:spacing w:after="120"/>
        <w:rPr>
          <w:sz w:val="22"/>
          <w:szCs w:val="22"/>
        </w:rPr>
      </w:pPr>
      <w:r>
        <w:rPr>
          <w:sz w:val="22"/>
          <w:szCs w:val="22"/>
        </w:rPr>
        <w:t xml:space="preserve">The Millenium Development Goals Report (2010). [Online], Available: </w:t>
      </w:r>
      <w:hyperlink r:id="rId97" w:history="1">
        <w:r>
          <w:rPr>
            <w:rStyle w:val="Hyperlink"/>
            <w:rFonts w:ascii="Arial" w:hAnsi="Arial" w:cs="Arial"/>
            <w:sz w:val="22"/>
            <w:szCs w:val="22"/>
            <w:u w:val="none"/>
          </w:rPr>
          <w:t>http://www.un.org/millenniumgoals/pdf/MDG%20Report%202010%20En%20r15%20-low%20res%2020100615%20-.pdf</w:t>
        </w:r>
      </w:hyperlink>
      <w:r>
        <w:rPr>
          <w:sz w:val="22"/>
          <w:szCs w:val="22"/>
        </w:rPr>
        <w:t xml:space="preserve"> [Downloaded: 14/08/2011].</w:t>
      </w:r>
    </w:p>
    <w:p w:rsidR="00AB7884" w:rsidRDefault="00AB7884">
      <w:pPr>
        <w:spacing w:after="120"/>
        <w:rPr>
          <w:i/>
          <w:iCs/>
          <w:sz w:val="22"/>
          <w:szCs w:val="22"/>
          <w:lang w:val="en-ZA"/>
        </w:rPr>
      </w:pPr>
      <w:r>
        <w:rPr>
          <w:sz w:val="22"/>
          <w:szCs w:val="22"/>
        </w:rPr>
        <w:t xml:space="preserve">UNAIDS (1998). </w:t>
      </w:r>
      <w:r>
        <w:rPr>
          <w:sz w:val="22"/>
          <w:szCs w:val="22"/>
          <w:lang w:val="en-ZA"/>
        </w:rPr>
        <w:t>Global summary of the HIV/AIDS epidemic, December 1998</w:t>
      </w:r>
      <w:r>
        <w:rPr>
          <w:i/>
          <w:iCs/>
          <w:sz w:val="22"/>
          <w:szCs w:val="22"/>
          <w:lang w:val="en-ZA"/>
        </w:rPr>
        <w:t>. AIDS epidemic update–December 1998.</w:t>
      </w:r>
    </w:p>
    <w:p w:rsidR="00AB7884" w:rsidRDefault="00AB7884">
      <w:pPr>
        <w:spacing w:after="120"/>
        <w:rPr>
          <w:sz w:val="22"/>
          <w:szCs w:val="22"/>
        </w:rPr>
      </w:pPr>
      <w:r>
        <w:rPr>
          <w:sz w:val="22"/>
          <w:szCs w:val="22"/>
          <w:lang w:val="en-ZA"/>
        </w:rPr>
        <w:t xml:space="preserve">UNAIDS (2010). </w:t>
      </w:r>
      <w:r>
        <w:rPr>
          <w:i/>
          <w:iCs/>
          <w:sz w:val="22"/>
          <w:szCs w:val="22"/>
        </w:rPr>
        <w:t>UNAIDS Report on the global AIDS epidemic 2010</w:t>
      </w:r>
      <w:r>
        <w:rPr>
          <w:sz w:val="22"/>
          <w:szCs w:val="22"/>
        </w:rPr>
        <w:t xml:space="preserve">. [Online], Available: </w:t>
      </w:r>
      <w:hyperlink r:id="rId98" w:history="1">
        <w:r>
          <w:rPr>
            <w:rStyle w:val="Hyperlink"/>
            <w:rFonts w:ascii="Arial" w:hAnsi="Arial" w:cs="Arial"/>
            <w:sz w:val="22"/>
            <w:szCs w:val="22"/>
            <w:u w:val="none"/>
            <w:lang w:val="en-ZA"/>
          </w:rPr>
          <w:t>http://www.unaids.org/globalreport/Global_report.htm</w:t>
        </w:r>
      </w:hyperlink>
      <w:r>
        <w:rPr>
          <w:rStyle w:val="Hyperlink"/>
          <w:rFonts w:ascii="Arial" w:hAnsi="Arial" w:cs="Arial"/>
          <w:sz w:val="22"/>
          <w:szCs w:val="22"/>
          <w:u w:val="none"/>
          <w:lang w:val="en-ZA"/>
        </w:rPr>
        <w:t xml:space="preserve"> </w:t>
      </w:r>
      <w:r>
        <w:rPr>
          <w:sz w:val="22"/>
          <w:szCs w:val="22"/>
        </w:rPr>
        <w:t>[Downloaded: 14/08/2011].</w:t>
      </w:r>
    </w:p>
    <w:p w:rsidR="00AB7884" w:rsidRDefault="00AB7884">
      <w:pPr>
        <w:spacing w:after="120"/>
        <w:rPr>
          <w:sz w:val="22"/>
          <w:szCs w:val="22"/>
        </w:rPr>
      </w:pPr>
      <w:r>
        <w:rPr>
          <w:sz w:val="22"/>
          <w:szCs w:val="22"/>
          <w:lang w:val="en-ZA"/>
        </w:rPr>
        <w:t xml:space="preserve">UNAIDS (2011) </w:t>
      </w:r>
      <w:r>
        <w:rPr>
          <w:i/>
          <w:iCs/>
          <w:sz w:val="22"/>
          <w:szCs w:val="22"/>
          <w:lang w:val="en-ZA"/>
        </w:rPr>
        <w:t>The Global Report</w:t>
      </w:r>
      <w:r>
        <w:rPr>
          <w:sz w:val="22"/>
          <w:szCs w:val="22"/>
          <w:lang w:val="en-ZA"/>
        </w:rPr>
        <w:t xml:space="preserve">. [Online], Available: </w:t>
      </w:r>
      <w:hyperlink r:id="rId99" w:history="1">
        <w:r>
          <w:rPr>
            <w:rStyle w:val="Hyperlink"/>
            <w:rFonts w:ascii="Arial" w:hAnsi="Arial" w:cs="Arial"/>
            <w:sz w:val="22"/>
            <w:szCs w:val="22"/>
            <w:u w:val="none"/>
          </w:rPr>
          <w:t>http://www.unaids.org/en/resources/presscentre/pressreleaseandstatementarchive/2011/november/20111121wad2011report/</w:t>
        </w:r>
      </w:hyperlink>
      <w:r>
        <w:rPr>
          <w:sz w:val="22"/>
          <w:szCs w:val="22"/>
        </w:rPr>
        <w:t xml:space="preserve"> [Downloaded: 14/08/2011].</w:t>
      </w:r>
    </w:p>
    <w:p w:rsidR="00AB7884" w:rsidRDefault="00AB7884">
      <w:pPr>
        <w:spacing w:after="120"/>
        <w:rPr>
          <w:sz w:val="22"/>
          <w:szCs w:val="22"/>
        </w:rPr>
      </w:pPr>
      <w:r>
        <w:rPr>
          <w:sz w:val="22"/>
          <w:szCs w:val="22"/>
        </w:rPr>
        <w:t xml:space="preserve">WHO. (1995). Global Programme on AIDS, progress report 1992–1993. WHO. [Online], Available: </w:t>
      </w:r>
      <w:hyperlink r:id="rId100" w:history="1">
        <w:r>
          <w:rPr>
            <w:rStyle w:val="Hyperlink"/>
            <w:rFonts w:ascii="Arial" w:hAnsi="Arial" w:cs="Arial"/>
            <w:sz w:val="22"/>
            <w:szCs w:val="22"/>
            <w:u w:val="none"/>
          </w:rPr>
          <w:t>http://data.unaids.org/publications/irc-pub06/epiupdate98_en.pdf</w:t>
        </w:r>
      </w:hyperlink>
      <w:r>
        <w:rPr>
          <w:sz w:val="22"/>
          <w:szCs w:val="22"/>
        </w:rPr>
        <w:t xml:space="preserve"> [Downloaded: 14/08/2011].</w:t>
      </w:r>
    </w:p>
    <w:p w:rsidR="00AB7884" w:rsidRDefault="00AB7884">
      <w:pPr>
        <w:spacing w:after="120"/>
        <w:rPr>
          <w:sz w:val="22"/>
          <w:szCs w:val="22"/>
        </w:rPr>
      </w:pPr>
      <w:r>
        <w:rPr>
          <w:rStyle w:val="texto11"/>
          <w:sz w:val="22"/>
          <w:szCs w:val="22"/>
          <w:lang w:val="en-US"/>
        </w:rPr>
        <w:t xml:space="preserve">WTO. (2006). </w:t>
      </w:r>
      <w:r>
        <w:rPr>
          <w:rStyle w:val="Strong"/>
          <w:rFonts w:ascii="Arial" w:hAnsi="Arial" w:cs="Arial"/>
          <w:b w:val="0"/>
          <w:bCs w:val="0"/>
          <w:i/>
          <w:iCs/>
          <w:sz w:val="22"/>
          <w:szCs w:val="22"/>
        </w:rPr>
        <w:t>Fact Sheet: TRIPS</w:t>
      </w:r>
      <w:r>
        <w:rPr>
          <w:i/>
          <w:iCs/>
          <w:sz w:val="22"/>
          <w:szCs w:val="22"/>
        </w:rPr>
        <w:t xml:space="preserve"> and pharmaceutical patents: </w:t>
      </w:r>
      <w:r>
        <w:rPr>
          <w:rStyle w:val="Strong"/>
          <w:rFonts w:ascii="Arial" w:hAnsi="Arial" w:cs="Arial"/>
          <w:b w:val="0"/>
          <w:bCs w:val="0"/>
          <w:i/>
          <w:iCs/>
          <w:sz w:val="22"/>
          <w:szCs w:val="22"/>
        </w:rPr>
        <w:t xml:space="preserve">Obligations and exceptions. </w:t>
      </w:r>
      <w:r>
        <w:rPr>
          <w:rStyle w:val="Strong"/>
          <w:rFonts w:ascii="Arial" w:hAnsi="Arial" w:cs="Arial"/>
          <w:b w:val="0"/>
          <w:bCs w:val="0"/>
          <w:sz w:val="22"/>
          <w:szCs w:val="22"/>
        </w:rPr>
        <w:t xml:space="preserve">[Online], Available: </w:t>
      </w:r>
      <w:hyperlink r:id="rId101" w:history="1">
        <w:r>
          <w:rPr>
            <w:rStyle w:val="Hyperlink"/>
            <w:rFonts w:ascii="Arial" w:hAnsi="Arial" w:cs="Arial"/>
            <w:sz w:val="22"/>
            <w:szCs w:val="22"/>
            <w:u w:val="none"/>
          </w:rPr>
          <w:t>http://www.wto.org/english/tratop_e/trips_e/factsheet_pharm00_e.htm</w:t>
        </w:r>
      </w:hyperlink>
      <w:r>
        <w:rPr>
          <w:sz w:val="22"/>
          <w:szCs w:val="22"/>
        </w:rPr>
        <w:t xml:space="preserve"> [Downloaded: 14/08/2011].</w:t>
      </w:r>
    </w:p>
    <w:p w:rsidR="00AB7884" w:rsidRDefault="00AB7884">
      <w:pPr>
        <w:spacing w:after="120"/>
        <w:rPr>
          <w:rFonts w:ascii="Times New Roman" w:hAnsi="Times New Roman" w:cs="Times New Roman"/>
        </w:rPr>
      </w:pPr>
      <w:r>
        <w:rPr>
          <w:sz w:val="22"/>
          <w:szCs w:val="22"/>
        </w:rPr>
        <w:t xml:space="preserve">York University. (2008). Big Pharma Spends More On Advertising Than Research And Development, Study Finds. </w:t>
      </w:r>
      <w:r>
        <w:rPr>
          <w:i/>
          <w:iCs/>
          <w:sz w:val="22"/>
          <w:szCs w:val="22"/>
        </w:rPr>
        <w:t>ScienceDaily</w:t>
      </w:r>
      <w:r>
        <w:rPr>
          <w:sz w:val="22"/>
          <w:szCs w:val="22"/>
        </w:rPr>
        <w:t>. [Online], Available: http://www.sciencedaily.com</w:t>
      </w:r>
      <w:r>
        <w:rPr>
          <w:sz w:val="22"/>
          <w:szCs w:val="22"/>
        </w:rPr>
        <w:softHyphen/>
        <w:t xml:space="preserve"> /releases/2008/01/080105140107.htm [Downloaded: 14/08/2011].</w:t>
      </w:r>
      <w:r>
        <w:rPr>
          <w:rFonts w:ascii="Times New Roman" w:hAnsi="Times New Roman" w:cs="Times New Roman"/>
        </w:rPr>
        <w:t xml:space="preserve"> </w:t>
      </w:r>
    </w:p>
    <w:p w:rsidR="00616076" w:rsidRDefault="00616076">
      <w:pPr>
        <w:spacing w:after="120"/>
        <w:rPr>
          <w:rFonts w:ascii="Times New Roman" w:hAnsi="Times New Roman" w:cs="Times New Roman"/>
        </w:rPr>
      </w:pPr>
    </w:p>
    <w:p w:rsidR="00616076" w:rsidRDefault="00616076">
      <w:pPr>
        <w:spacing w:after="120"/>
        <w:rPr>
          <w:rFonts w:ascii="Times New Roman" w:hAnsi="Times New Roman" w:cs="Times New Roman"/>
        </w:rPr>
      </w:pPr>
    </w:p>
    <w:p w:rsidR="00616076" w:rsidRDefault="00616076">
      <w:pPr>
        <w:spacing w:after="120"/>
        <w:rPr>
          <w:rFonts w:ascii="Times New Roman" w:hAnsi="Times New Roman" w:cs="Times New Roman"/>
        </w:rPr>
      </w:pPr>
    </w:p>
    <w:p w:rsidR="00616076" w:rsidRDefault="00616076">
      <w:pPr>
        <w:spacing w:after="120"/>
        <w:rPr>
          <w:rFonts w:ascii="Times New Roman" w:hAnsi="Times New Roman" w:cs="Times New Roman"/>
        </w:rPr>
      </w:pPr>
    </w:p>
    <w:p w:rsidR="00616076" w:rsidRDefault="00616076">
      <w:pPr>
        <w:spacing w:after="120"/>
        <w:rPr>
          <w:rFonts w:ascii="Times New Roman" w:hAnsi="Times New Roman" w:cs="Times New Roman"/>
        </w:rPr>
      </w:pPr>
    </w:p>
    <w:p w:rsidR="00616076" w:rsidRDefault="00616076">
      <w:pPr>
        <w:spacing w:after="120"/>
        <w:rPr>
          <w:rFonts w:ascii="Times New Roman" w:hAnsi="Times New Roman" w:cs="Times New Roman"/>
        </w:rPr>
      </w:pPr>
    </w:p>
    <w:p w:rsidR="00616076" w:rsidRDefault="00616076">
      <w:pPr>
        <w:spacing w:after="120"/>
        <w:rPr>
          <w:rFonts w:ascii="Times New Roman" w:hAnsi="Times New Roman" w:cs="Times New Roman"/>
        </w:rPr>
      </w:pPr>
    </w:p>
    <w:sectPr w:rsidR="00616076" w:rsidSect="00AB7884">
      <w:footerReference w:type="default" r:id="rId102"/>
      <w:pgSz w:w="11907" w:h="16840" w:code="9"/>
      <w:pgMar w:top="1701" w:right="1701" w:bottom="1701" w:left="1701" w:header="709" w:footer="737" w:gutter="0"/>
      <w:pgNumType w:start="6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B14" w:rsidRDefault="00851B14">
      <w:pPr>
        <w:rPr>
          <w:rFonts w:ascii="Times New Roman" w:hAnsi="Times New Roman" w:cs="Times New Roman"/>
        </w:rPr>
      </w:pPr>
      <w:r>
        <w:rPr>
          <w:rFonts w:ascii="Times New Roman" w:hAnsi="Times New Roman" w:cs="Times New Roman"/>
        </w:rPr>
        <w:separator/>
      </w:r>
    </w:p>
  </w:endnote>
  <w:endnote w:type="continuationSeparator" w:id="0">
    <w:p w:rsidR="00851B14" w:rsidRDefault="00851B14">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5F5" w:rsidRDefault="00C175F5" w:rsidP="0034040D">
    <w:pPr>
      <w:pStyle w:val="Footer"/>
      <w:pBdr>
        <w:top w:val="single" w:sz="4" w:space="3" w:color="auto"/>
      </w:pBdr>
      <w:ind w:right="360"/>
      <w:jc w:val="center"/>
      <w:rPr>
        <w:rFonts w:ascii="Trebuchet MS" w:hAnsi="Trebuchet MS" w:cs="Trebuchet MS"/>
      </w:rPr>
    </w:pPr>
    <w:r>
      <w:rPr>
        <w:rFonts w:ascii="Trebuchet MS" w:hAnsi="Trebuchet MS" w:cs="Trebuchet MS"/>
        <w:i/>
        <w:iCs/>
      </w:rPr>
      <w:t>Globalisation and Health –</w:t>
    </w:r>
    <w:r>
      <w:rPr>
        <w:rFonts w:ascii="Trebuchet MS" w:hAnsi="Trebuchet MS" w:cs="Trebuchet MS"/>
      </w:rPr>
      <w:t xml:space="preserve"> Unit 2</w:t>
    </w:r>
  </w:p>
  <w:p w:rsidR="00C175F5" w:rsidRPr="0034040D" w:rsidRDefault="00717A10">
    <w:pPr>
      <w:pStyle w:val="Footer"/>
      <w:jc w:val="right"/>
      <w:rPr>
        <w:rFonts w:ascii="Trebuchet MS" w:hAnsi="Trebuchet MS"/>
      </w:rPr>
    </w:pPr>
    <w:r w:rsidRPr="0034040D">
      <w:rPr>
        <w:rFonts w:ascii="Trebuchet MS" w:hAnsi="Trebuchet MS"/>
      </w:rPr>
      <w:fldChar w:fldCharType="begin"/>
    </w:r>
    <w:r w:rsidR="00C175F5" w:rsidRPr="0034040D">
      <w:rPr>
        <w:rFonts w:ascii="Trebuchet MS" w:hAnsi="Trebuchet MS"/>
      </w:rPr>
      <w:instrText xml:space="preserve"> PAGE   \* MERGEFORMAT </w:instrText>
    </w:r>
    <w:r w:rsidRPr="0034040D">
      <w:rPr>
        <w:rFonts w:ascii="Trebuchet MS" w:hAnsi="Trebuchet MS"/>
      </w:rPr>
      <w:fldChar w:fldCharType="separate"/>
    </w:r>
    <w:r w:rsidR="00C42A6B">
      <w:rPr>
        <w:rFonts w:ascii="Trebuchet MS" w:hAnsi="Trebuchet MS"/>
        <w:noProof/>
      </w:rPr>
      <w:t>65</w:t>
    </w:r>
    <w:r w:rsidRPr="0034040D">
      <w:rPr>
        <w:rFonts w:ascii="Trebuchet MS" w:hAnsi="Trebuchet MS"/>
      </w:rPr>
      <w:fldChar w:fldCharType="end"/>
    </w:r>
  </w:p>
  <w:p w:rsidR="00C175F5" w:rsidRDefault="00C175F5">
    <w:pPr>
      <w:pStyle w:val="Footer"/>
      <w:ind w:firstLine="720"/>
    </w:pPr>
  </w:p>
  <w:p w:rsidR="00C175F5" w:rsidRDefault="00C175F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B14" w:rsidRDefault="00851B14">
      <w:pPr>
        <w:rPr>
          <w:rFonts w:ascii="Times New Roman" w:hAnsi="Times New Roman" w:cs="Times New Roman"/>
        </w:rPr>
      </w:pPr>
      <w:r>
        <w:rPr>
          <w:rFonts w:ascii="Times New Roman" w:hAnsi="Times New Roman" w:cs="Times New Roman"/>
        </w:rPr>
        <w:separator/>
      </w:r>
    </w:p>
  </w:footnote>
  <w:footnote w:type="continuationSeparator" w:id="0">
    <w:p w:rsidR="00851B14" w:rsidRDefault="00851B14">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2F63"/>
    <w:multiLevelType w:val="hybridMultilevel"/>
    <w:tmpl w:val="4F08467C"/>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cs="Wingdings" w:hint="default"/>
      </w:rPr>
    </w:lvl>
    <w:lvl w:ilvl="3" w:tplc="1C090001">
      <w:start w:val="1"/>
      <w:numFmt w:val="bullet"/>
      <w:lvlText w:val=""/>
      <w:lvlJc w:val="left"/>
      <w:pPr>
        <w:ind w:left="3240" w:hanging="360"/>
      </w:pPr>
      <w:rPr>
        <w:rFonts w:ascii="Symbol" w:hAnsi="Symbol" w:cs="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cs="Wingdings" w:hint="default"/>
      </w:rPr>
    </w:lvl>
    <w:lvl w:ilvl="6" w:tplc="1C090001">
      <w:start w:val="1"/>
      <w:numFmt w:val="bullet"/>
      <w:lvlText w:val=""/>
      <w:lvlJc w:val="left"/>
      <w:pPr>
        <w:ind w:left="5400" w:hanging="360"/>
      </w:pPr>
      <w:rPr>
        <w:rFonts w:ascii="Symbol" w:hAnsi="Symbol" w:cs="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cs="Wingdings" w:hint="default"/>
      </w:rPr>
    </w:lvl>
  </w:abstractNum>
  <w:abstractNum w:abstractNumId="1">
    <w:nsid w:val="0D3847C4"/>
    <w:multiLevelType w:val="hybridMultilevel"/>
    <w:tmpl w:val="506CCC94"/>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
    <w:nsid w:val="0F9A4BBC"/>
    <w:multiLevelType w:val="hybridMultilevel"/>
    <w:tmpl w:val="D858573E"/>
    <w:lvl w:ilvl="0" w:tplc="1C09000F">
      <w:start w:val="1"/>
      <w:numFmt w:val="decimal"/>
      <w:lvlText w:val="%1."/>
      <w:lvlJc w:val="left"/>
      <w:pPr>
        <w:ind w:left="720" w:hanging="360"/>
      </w:pPr>
      <w:rPr>
        <w:rFonts w:ascii="Times New Roman" w:hAnsi="Times New Roman" w:cs="Times New Roman" w:hint="default"/>
      </w:rPr>
    </w:lvl>
    <w:lvl w:ilvl="1" w:tplc="1C090019">
      <w:start w:val="1"/>
      <w:numFmt w:val="lowerLetter"/>
      <w:lvlText w:val="%2."/>
      <w:lvlJc w:val="left"/>
      <w:pPr>
        <w:ind w:left="1440" w:hanging="360"/>
      </w:pPr>
      <w:rPr>
        <w:rFonts w:ascii="Times New Roman" w:hAnsi="Times New Roman" w:cs="Times New Roman"/>
      </w:rPr>
    </w:lvl>
    <w:lvl w:ilvl="2" w:tplc="1C09001B">
      <w:start w:val="1"/>
      <w:numFmt w:val="lowerRoman"/>
      <w:lvlText w:val="%3."/>
      <w:lvlJc w:val="right"/>
      <w:pPr>
        <w:ind w:left="2160" w:hanging="180"/>
      </w:pPr>
      <w:rPr>
        <w:rFonts w:ascii="Times New Roman" w:hAnsi="Times New Roman" w:cs="Times New Roman"/>
      </w:rPr>
    </w:lvl>
    <w:lvl w:ilvl="3" w:tplc="1C09000F">
      <w:start w:val="1"/>
      <w:numFmt w:val="decimal"/>
      <w:lvlText w:val="%4."/>
      <w:lvlJc w:val="left"/>
      <w:pPr>
        <w:ind w:left="2880" w:hanging="360"/>
      </w:pPr>
      <w:rPr>
        <w:rFonts w:ascii="Times New Roman" w:hAnsi="Times New Roman" w:cs="Times New Roman"/>
      </w:rPr>
    </w:lvl>
    <w:lvl w:ilvl="4" w:tplc="1C090019">
      <w:start w:val="1"/>
      <w:numFmt w:val="lowerLetter"/>
      <w:lvlText w:val="%5."/>
      <w:lvlJc w:val="left"/>
      <w:pPr>
        <w:ind w:left="3600" w:hanging="360"/>
      </w:pPr>
      <w:rPr>
        <w:rFonts w:ascii="Times New Roman" w:hAnsi="Times New Roman" w:cs="Times New Roman"/>
      </w:rPr>
    </w:lvl>
    <w:lvl w:ilvl="5" w:tplc="1C09001B">
      <w:start w:val="1"/>
      <w:numFmt w:val="lowerRoman"/>
      <w:lvlText w:val="%6."/>
      <w:lvlJc w:val="right"/>
      <w:pPr>
        <w:ind w:left="4320" w:hanging="180"/>
      </w:pPr>
      <w:rPr>
        <w:rFonts w:ascii="Times New Roman" w:hAnsi="Times New Roman" w:cs="Times New Roman"/>
      </w:rPr>
    </w:lvl>
    <w:lvl w:ilvl="6" w:tplc="1C09000F">
      <w:start w:val="1"/>
      <w:numFmt w:val="decimal"/>
      <w:lvlText w:val="%7."/>
      <w:lvlJc w:val="left"/>
      <w:pPr>
        <w:ind w:left="5040" w:hanging="360"/>
      </w:pPr>
      <w:rPr>
        <w:rFonts w:ascii="Times New Roman" w:hAnsi="Times New Roman" w:cs="Times New Roman"/>
      </w:rPr>
    </w:lvl>
    <w:lvl w:ilvl="7" w:tplc="1C090019">
      <w:start w:val="1"/>
      <w:numFmt w:val="lowerLetter"/>
      <w:lvlText w:val="%8."/>
      <w:lvlJc w:val="left"/>
      <w:pPr>
        <w:ind w:left="5760" w:hanging="360"/>
      </w:pPr>
      <w:rPr>
        <w:rFonts w:ascii="Times New Roman" w:hAnsi="Times New Roman" w:cs="Times New Roman"/>
      </w:rPr>
    </w:lvl>
    <w:lvl w:ilvl="8" w:tplc="1C09001B">
      <w:start w:val="1"/>
      <w:numFmt w:val="lowerRoman"/>
      <w:lvlText w:val="%9."/>
      <w:lvlJc w:val="right"/>
      <w:pPr>
        <w:ind w:left="6480" w:hanging="180"/>
      </w:pPr>
      <w:rPr>
        <w:rFonts w:ascii="Times New Roman" w:hAnsi="Times New Roman" w:cs="Times New Roman"/>
      </w:rPr>
    </w:lvl>
  </w:abstractNum>
  <w:abstractNum w:abstractNumId="3">
    <w:nsid w:val="0FAE285A"/>
    <w:multiLevelType w:val="hybridMultilevel"/>
    <w:tmpl w:val="793ED610"/>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4">
    <w:nsid w:val="1166294B"/>
    <w:multiLevelType w:val="hybridMultilevel"/>
    <w:tmpl w:val="BCC67B98"/>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5">
    <w:nsid w:val="146F2371"/>
    <w:multiLevelType w:val="hybridMultilevel"/>
    <w:tmpl w:val="C52A7FC6"/>
    <w:lvl w:ilvl="0" w:tplc="1C09000F">
      <w:start w:val="1"/>
      <w:numFmt w:val="decimal"/>
      <w:lvlText w:val="%1."/>
      <w:lvlJc w:val="left"/>
      <w:pPr>
        <w:ind w:left="360" w:hanging="360"/>
      </w:pPr>
      <w:rPr>
        <w:rFonts w:ascii="Times New Roman" w:hAnsi="Times New Roman" w:cs="Times New Roman" w:hint="default"/>
        <w:b w:val="0"/>
        <w:bCs w:val="0"/>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6">
    <w:nsid w:val="148B48F2"/>
    <w:multiLevelType w:val="hybridMultilevel"/>
    <w:tmpl w:val="4622F3C6"/>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7">
    <w:nsid w:val="178469DD"/>
    <w:multiLevelType w:val="hybridMultilevel"/>
    <w:tmpl w:val="3ABED83E"/>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8">
    <w:nsid w:val="1C674D89"/>
    <w:multiLevelType w:val="hybridMultilevel"/>
    <w:tmpl w:val="6E541952"/>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9">
    <w:nsid w:val="1CCC6559"/>
    <w:multiLevelType w:val="hybridMultilevel"/>
    <w:tmpl w:val="8812C332"/>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0">
    <w:nsid w:val="1D4222B3"/>
    <w:multiLevelType w:val="multilevel"/>
    <w:tmpl w:val="17F8E782"/>
    <w:lvl w:ilvl="0">
      <w:start w:val="1"/>
      <w:numFmt w:val="decimal"/>
      <w:lvlText w:val="%1."/>
      <w:lvlJc w:val="left"/>
      <w:pPr>
        <w:ind w:left="360" w:hanging="360"/>
      </w:pPr>
      <w:rPr>
        <w:rFonts w:ascii="Times New Roman" w:hAnsi="Times New Roman" w:cs="Times New Roman" w:hint="default"/>
      </w:rPr>
    </w:lvl>
    <w:lvl w:ilvl="1">
      <w:start w:val="2"/>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11">
    <w:nsid w:val="2289294A"/>
    <w:multiLevelType w:val="hybridMultilevel"/>
    <w:tmpl w:val="6C08CA1C"/>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2">
    <w:nsid w:val="26647C6B"/>
    <w:multiLevelType w:val="hybridMultilevel"/>
    <w:tmpl w:val="B536704E"/>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3">
    <w:nsid w:val="299C7548"/>
    <w:multiLevelType w:val="hybridMultilevel"/>
    <w:tmpl w:val="1598E548"/>
    <w:lvl w:ilvl="0" w:tplc="1C09000F">
      <w:start w:val="1"/>
      <w:numFmt w:val="decimal"/>
      <w:lvlText w:val="%1."/>
      <w:lvlJc w:val="left"/>
      <w:pPr>
        <w:ind w:left="360" w:hanging="360"/>
      </w:pPr>
      <w:rPr>
        <w:rFonts w:ascii="Times New Roman" w:eastAsia="Times New Roman" w:hAnsi="Times New Roman" w:hint="default"/>
        <w:b w:val="0"/>
        <w:bCs w:val="0"/>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14">
    <w:nsid w:val="2B5933BD"/>
    <w:multiLevelType w:val="hybridMultilevel"/>
    <w:tmpl w:val="1A3CEB68"/>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5">
    <w:nsid w:val="2B593D69"/>
    <w:multiLevelType w:val="hybridMultilevel"/>
    <w:tmpl w:val="32E04BEE"/>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6">
    <w:nsid w:val="2BC01FAA"/>
    <w:multiLevelType w:val="hybridMultilevel"/>
    <w:tmpl w:val="EAE86C68"/>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7">
    <w:nsid w:val="2CBB430B"/>
    <w:multiLevelType w:val="hybridMultilevel"/>
    <w:tmpl w:val="EDEAAD70"/>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18">
    <w:nsid w:val="31B05F2B"/>
    <w:multiLevelType w:val="hybridMultilevel"/>
    <w:tmpl w:val="09986F16"/>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9">
    <w:nsid w:val="32036BF0"/>
    <w:multiLevelType w:val="hybridMultilevel"/>
    <w:tmpl w:val="6D0E2D56"/>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20">
    <w:nsid w:val="34073F85"/>
    <w:multiLevelType w:val="hybridMultilevel"/>
    <w:tmpl w:val="48AEC2EA"/>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1">
    <w:nsid w:val="39564F08"/>
    <w:multiLevelType w:val="hybridMultilevel"/>
    <w:tmpl w:val="AB94C38C"/>
    <w:lvl w:ilvl="0" w:tplc="B22CCE2E">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2">
    <w:nsid w:val="3AC54899"/>
    <w:multiLevelType w:val="hybridMultilevel"/>
    <w:tmpl w:val="D2C0BD6C"/>
    <w:lvl w:ilvl="0" w:tplc="8E62E51A">
      <w:start w:val="1"/>
      <w:numFmt w:val="decimal"/>
      <w:lvlText w:val="%1."/>
      <w:lvlJc w:val="left"/>
      <w:pPr>
        <w:ind w:left="360" w:hanging="360"/>
      </w:pPr>
      <w:rPr>
        <w:rFonts w:ascii="Trebuchet MS" w:eastAsia="Times New Roman" w:hAnsi="Trebuchet MS"/>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23">
    <w:nsid w:val="3C233D29"/>
    <w:multiLevelType w:val="hybridMultilevel"/>
    <w:tmpl w:val="0C36D50E"/>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4">
    <w:nsid w:val="3C315269"/>
    <w:multiLevelType w:val="hybridMultilevel"/>
    <w:tmpl w:val="4F502B50"/>
    <w:lvl w:ilvl="0" w:tplc="03A4F608">
      <w:start w:val="1"/>
      <w:numFmt w:val="decimal"/>
      <w:lvlText w:val="%1."/>
      <w:lvlJc w:val="left"/>
      <w:pPr>
        <w:ind w:left="360" w:hanging="360"/>
      </w:pPr>
      <w:rPr>
        <w:rFonts w:ascii="Trebuchet MS" w:eastAsia="Times New Roman" w:hAnsi="Trebuchet MS" w:hint="default"/>
        <w:b w:val="0"/>
        <w:bCs w:val="0"/>
        <w:sz w:val="22"/>
        <w:szCs w:val="22"/>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25">
    <w:nsid w:val="3DC911A7"/>
    <w:multiLevelType w:val="hybridMultilevel"/>
    <w:tmpl w:val="C1765CBE"/>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6">
    <w:nsid w:val="3F184984"/>
    <w:multiLevelType w:val="hybridMultilevel"/>
    <w:tmpl w:val="085AD2A8"/>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27">
    <w:nsid w:val="3F9879C2"/>
    <w:multiLevelType w:val="hybridMultilevel"/>
    <w:tmpl w:val="9C3AC5C2"/>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28">
    <w:nsid w:val="408E550D"/>
    <w:multiLevelType w:val="hybridMultilevel"/>
    <w:tmpl w:val="50505CE8"/>
    <w:lvl w:ilvl="0" w:tplc="1EECA25E">
      <w:start w:val="1"/>
      <w:numFmt w:val="bullet"/>
      <w:lvlText w:val=""/>
      <w:lvlJc w:val="left"/>
      <w:pPr>
        <w:tabs>
          <w:tab w:val="num" w:pos="360"/>
        </w:tabs>
        <w:ind w:left="36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42642752"/>
    <w:multiLevelType w:val="hybridMultilevel"/>
    <w:tmpl w:val="9ABC9876"/>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30">
    <w:nsid w:val="46835C76"/>
    <w:multiLevelType w:val="hybridMultilevel"/>
    <w:tmpl w:val="F4B697B0"/>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31">
    <w:nsid w:val="46C94F9C"/>
    <w:multiLevelType w:val="hybridMultilevel"/>
    <w:tmpl w:val="260C07B6"/>
    <w:lvl w:ilvl="0" w:tplc="1C090015">
      <w:start w:val="1"/>
      <w:numFmt w:val="upperLetter"/>
      <w:lvlText w:val="%1."/>
      <w:lvlJc w:val="left"/>
      <w:pPr>
        <w:ind w:left="360" w:hanging="360"/>
      </w:pPr>
      <w:rPr>
        <w:rFonts w:ascii="Times New Roman" w:eastAsia="Times New Roman" w:hAnsi="Times New Roman" w:hint="default"/>
        <w:sz w:val="20"/>
        <w:szCs w:val="20"/>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32">
    <w:nsid w:val="4A9F0479"/>
    <w:multiLevelType w:val="hybridMultilevel"/>
    <w:tmpl w:val="9F6EBD6A"/>
    <w:lvl w:ilvl="0" w:tplc="1EECA25E">
      <w:start w:val="1"/>
      <w:numFmt w:val="bullet"/>
      <w:lvlText w:val=""/>
      <w:lvlJc w:val="left"/>
      <w:pPr>
        <w:tabs>
          <w:tab w:val="num" w:pos="360"/>
        </w:tabs>
        <w:ind w:left="36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51BC5374"/>
    <w:multiLevelType w:val="hybridMultilevel"/>
    <w:tmpl w:val="88F6DFEA"/>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34">
    <w:nsid w:val="534709A7"/>
    <w:multiLevelType w:val="hybridMultilevel"/>
    <w:tmpl w:val="F0BC0880"/>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35">
    <w:nsid w:val="54EC243E"/>
    <w:multiLevelType w:val="hybridMultilevel"/>
    <w:tmpl w:val="D3FE64D4"/>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36">
    <w:nsid w:val="552A7701"/>
    <w:multiLevelType w:val="hybridMultilevel"/>
    <w:tmpl w:val="849A8FCE"/>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37">
    <w:nsid w:val="58643BE3"/>
    <w:multiLevelType w:val="hybridMultilevel"/>
    <w:tmpl w:val="490CD204"/>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38">
    <w:nsid w:val="58A61499"/>
    <w:multiLevelType w:val="hybridMultilevel"/>
    <w:tmpl w:val="FD44C9DE"/>
    <w:lvl w:ilvl="0" w:tplc="1E645A2E">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39">
    <w:nsid w:val="59D46BA5"/>
    <w:multiLevelType w:val="hybridMultilevel"/>
    <w:tmpl w:val="E74CCCFC"/>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40">
    <w:nsid w:val="5BC14144"/>
    <w:multiLevelType w:val="hybridMultilevel"/>
    <w:tmpl w:val="2DACAE5C"/>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41">
    <w:nsid w:val="5D264EBC"/>
    <w:multiLevelType w:val="hybridMultilevel"/>
    <w:tmpl w:val="C924F724"/>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42">
    <w:nsid w:val="5D56090D"/>
    <w:multiLevelType w:val="hybridMultilevel"/>
    <w:tmpl w:val="BFAA7260"/>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43">
    <w:nsid w:val="61F11AFF"/>
    <w:multiLevelType w:val="hybridMultilevel"/>
    <w:tmpl w:val="C7348D1A"/>
    <w:lvl w:ilvl="0" w:tplc="1C09000F">
      <w:start w:val="1"/>
      <w:numFmt w:val="decimal"/>
      <w:lvlText w:val="%1."/>
      <w:lvlJc w:val="left"/>
      <w:pPr>
        <w:ind w:left="720" w:hanging="360"/>
      </w:pPr>
      <w:rPr>
        <w:rFonts w:ascii="Times New Roman" w:hAnsi="Times New Roman" w:cs="Times New Roman" w:hint="default"/>
      </w:rPr>
    </w:lvl>
    <w:lvl w:ilvl="1" w:tplc="1C090019">
      <w:start w:val="1"/>
      <w:numFmt w:val="lowerLetter"/>
      <w:lvlText w:val="%2."/>
      <w:lvlJc w:val="left"/>
      <w:pPr>
        <w:ind w:left="1440" w:hanging="360"/>
      </w:pPr>
      <w:rPr>
        <w:rFonts w:ascii="Times New Roman" w:hAnsi="Times New Roman" w:cs="Times New Roman"/>
      </w:rPr>
    </w:lvl>
    <w:lvl w:ilvl="2" w:tplc="1C09001B">
      <w:start w:val="1"/>
      <w:numFmt w:val="lowerRoman"/>
      <w:lvlText w:val="%3."/>
      <w:lvlJc w:val="right"/>
      <w:pPr>
        <w:ind w:left="2160" w:hanging="180"/>
      </w:pPr>
      <w:rPr>
        <w:rFonts w:ascii="Times New Roman" w:hAnsi="Times New Roman" w:cs="Times New Roman"/>
      </w:rPr>
    </w:lvl>
    <w:lvl w:ilvl="3" w:tplc="1C09000F">
      <w:start w:val="1"/>
      <w:numFmt w:val="decimal"/>
      <w:lvlText w:val="%4."/>
      <w:lvlJc w:val="left"/>
      <w:pPr>
        <w:ind w:left="2880" w:hanging="360"/>
      </w:pPr>
      <w:rPr>
        <w:rFonts w:ascii="Times New Roman" w:hAnsi="Times New Roman" w:cs="Times New Roman"/>
      </w:rPr>
    </w:lvl>
    <w:lvl w:ilvl="4" w:tplc="1C090019">
      <w:start w:val="1"/>
      <w:numFmt w:val="lowerLetter"/>
      <w:lvlText w:val="%5."/>
      <w:lvlJc w:val="left"/>
      <w:pPr>
        <w:ind w:left="3600" w:hanging="360"/>
      </w:pPr>
      <w:rPr>
        <w:rFonts w:ascii="Times New Roman" w:hAnsi="Times New Roman" w:cs="Times New Roman"/>
      </w:rPr>
    </w:lvl>
    <w:lvl w:ilvl="5" w:tplc="1C09001B">
      <w:start w:val="1"/>
      <w:numFmt w:val="lowerRoman"/>
      <w:lvlText w:val="%6."/>
      <w:lvlJc w:val="right"/>
      <w:pPr>
        <w:ind w:left="4320" w:hanging="180"/>
      </w:pPr>
      <w:rPr>
        <w:rFonts w:ascii="Times New Roman" w:hAnsi="Times New Roman" w:cs="Times New Roman"/>
      </w:rPr>
    </w:lvl>
    <w:lvl w:ilvl="6" w:tplc="1C09000F">
      <w:start w:val="1"/>
      <w:numFmt w:val="decimal"/>
      <w:lvlText w:val="%7."/>
      <w:lvlJc w:val="left"/>
      <w:pPr>
        <w:ind w:left="5040" w:hanging="360"/>
      </w:pPr>
      <w:rPr>
        <w:rFonts w:ascii="Times New Roman" w:hAnsi="Times New Roman" w:cs="Times New Roman"/>
      </w:rPr>
    </w:lvl>
    <w:lvl w:ilvl="7" w:tplc="1C090019">
      <w:start w:val="1"/>
      <w:numFmt w:val="lowerLetter"/>
      <w:lvlText w:val="%8."/>
      <w:lvlJc w:val="left"/>
      <w:pPr>
        <w:ind w:left="5760" w:hanging="360"/>
      </w:pPr>
      <w:rPr>
        <w:rFonts w:ascii="Times New Roman" w:hAnsi="Times New Roman" w:cs="Times New Roman"/>
      </w:rPr>
    </w:lvl>
    <w:lvl w:ilvl="8" w:tplc="1C09001B">
      <w:start w:val="1"/>
      <w:numFmt w:val="lowerRoman"/>
      <w:lvlText w:val="%9."/>
      <w:lvlJc w:val="right"/>
      <w:pPr>
        <w:ind w:left="6480" w:hanging="180"/>
      </w:pPr>
      <w:rPr>
        <w:rFonts w:ascii="Times New Roman" w:hAnsi="Times New Roman" w:cs="Times New Roman"/>
      </w:rPr>
    </w:lvl>
  </w:abstractNum>
  <w:abstractNum w:abstractNumId="44">
    <w:nsid w:val="643B78CC"/>
    <w:multiLevelType w:val="hybridMultilevel"/>
    <w:tmpl w:val="AA1EAC9C"/>
    <w:lvl w:ilvl="0" w:tplc="04090005">
      <w:start w:val="1"/>
      <w:numFmt w:val="bullet"/>
      <w:lvlText w:val=""/>
      <w:lvlJc w:val="left"/>
      <w:pPr>
        <w:tabs>
          <w:tab w:val="num" w:pos="360"/>
        </w:tabs>
        <w:ind w:left="360" w:hanging="360"/>
      </w:pPr>
      <w:rPr>
        <w:rFonts w:ascii="Wingdings" w:hAnsi="Wingdings" w:cs="Wingdings" w:hint="default"/>
      </w:rPr>
    </w:lvl>
    <w:lvl w:ilvl="1" w:tplc="7C846670">
      <w:numFmt w:val="bullet"/>
      <w:lvlText w:val="—"/>
      <w:lvlJc w:val="left"/>
      <w:pPr>
        <w:ind w:left="1080" w:hanging="360"/>
      </w:pPr>
      <w:rPr>
        <w:rFonts w:ascii="Arial" w:eastAsia="Times New Roman" w:hAnsi="Arial"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5">
    <w:nsid w:val="66E11C55"/>
    <w:multiLevelType w:val="hybridMultilevel"/>
    <w:tmpl w:val="09820550"/>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46">
    <w:nsid w:val="692A3ED0"/>
    <w:multiLevelType w:val="hybridMultilevel"/>
    <w:tmpl w:val="DF5A1888"/>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47">
    <w:nsid w:val="6A700E8C"/>
    <w:multiLevelType w:val="hybridMultilevel"/>
    <w:tmpl w:val="BDC0F22C"/>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48">
    <w:nsid w:val="6A7C6937"/>
    <w:multiLevelType w:val="hybridMultilevel"/>
    <w:tmpl w:val="7AFA4C4E"/>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49">
    <w:nsid w:val="6B2B1A09"/>
    <w:multiLevelType w:val="hybridMultilevel"/>
    <w:tmpl w:val="B0124B54"/>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50">
    <w:nsid w:val="6C3453A6"/>
    <w:multiLevelType w:val="hybridMultilevel"/>
    <w:tmpl w:val="A6F49074"/>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51">
    <w:nsid w:val="6F8B0693"/>
    <w:multiLevelType w:val="hybridMultilevel"/>
    <w:tmpl w:val="ED323B9E"/>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52">
    <w:nsid w:val="70FD71F4"/>
    <w:multiLevelType w:val="hybridMultilevel"/>
    <w:tmpl w:val="C3E00D0A"/>
    <w:lvl w:ilvl="0" w:tplc="1C090001">
      <w:start w:val="1"/>
      <w:numFmt w:val="bullet"/>
      <w:lvlText w:val=""/>
      <w:lvlJc w:val="left"/>
      <w:pPr>
        <w:ind w:left="360" w:hanging="360"/>
      </w:pPr>
      <w:rPr>
        <w:rFonts w:ascii="Symbol" w:hAnsi="Symbol" w:cs="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cs="Wingdings" w:hint="default"/>
      </w:rPr>
    </w:lvl>
    <w:lvl w:ilvl="3" w:tplc="1C090001">
      <w:start w:val="1"/>
      <w:numFmt w:val="bullet"/>
      <w:lvlText w:val=""/>
      <w:lvlJc w:val="left"/>
      <w:pPr>
        <w:ind w:left="2520" w:hanging="360"/>
      </w:pPr>
      <w:rPr>
        <w:rFonts w:ascii="Symbol" w:hAnsi="Symbol" w:cs="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cs="Wingdings" w:hint="default"/>
      </w:rPr>
    </w:lvl>
    <w:lvl w:ilvl="6" w:tplc="1C090001">
      <w:start w:val="1"/>
      <w:numFmt w:val="bullet"/>
      <w:lvlText w:val=""/>
      <w:lvlJc w:val="left"/>
      <w:pPr>
        <w:ind w:left="4680" w:hanging="360"/>
      </w:pPr>
      <w:rPr>
        <w:rFonts w:ascii="Symbol" w:hAnsi="Symbol" w:cs="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cs="Wingdings" w:hint="default"/>
      </w:rPr>
    </w:lvl>
  </w:abstractNum>
  <w:abstractNum w:abstractNumId="53">
    <w:nsid w:val="744A7B13"/>
    <w:multiLevelType w:val="hybridMultilevel"/>
    <w:tmpl w:val="D922AC98"/>
    <w:lvl w:ilvl="0" w:tplc="1C09000F">
      <w:start w:val="1"/>
      <w:numFmt w:val="decimal"/>
      <w:lvlText w:val="%1."/>
      <w:lvlJc w:val="left"/>
      <w:pPr>
        <w:ind w:left="360" w:hanging="360"/>
      </w:pPr>
      <w:rPr>
        <w:rFonts w:ascii="Times New Roman" w:hAnsi="Times New Roman" w:cs="Times New Roman"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abstractNum w:abstractNumId="54">
    <w:nsid w:val="74BD4787"/>
    <w:multiLevelType w:val="hybridMultilevel"/>
    <w:tmpl w:val="5EA437C6"/>
    <w:lvl w:ilvl="0" w:tplc="1C090001">
      <w:start w:val="1"/>
      <w:numFmt w:val="bullet"/>
      <w:lvlText w:val=""/>
      <w:lvlJc w:val="left"/>
      <w:pPr>
        <w:ind w:left="360" w:hanging="360"/>
      </w:pPr>
      <w:rPr>
        <w:rFonts w:ascii="Symbol" w:hAnsi="Symbol" w:cs="Symbol" w:hint="default"/>
      </w:rPr>
    </w:lvl>
    <w:lvl w:ilvl="1" w:tplc="1C090019">
      <w:start w:val="1"/>
      <w:numFmt w:val="lowerLetter"/>
      <w:lvlText w:val="%2."/>
      <w:lvlJc w:val="left"/>
      <w:pPr>
        <w:ind w:left="1080" w:hanging="360"/>
      </w:pPr>
      <w:rPr>
        <w:rFonts w:ascii="Times New Roman" w:hAnsi="Times New Roman" w:cs="Times New Roman"/>
      </w:rPr>
    </w:lvl>
    <w:lvl w:ilvl="2" w:tplc="1C09001B">
      <w:start w:val="1"/>
      <w:numFmt w:val="lowerRoman"/>
      <w:lvlText w:val="%3."/>
      <w:lvlJc w:val="right"/>
      <w:pPr>
        <w:ind w:left="1800" w:hanging="180"/>
      </w:pPr>
      <w:rPr>
        <w:rFonts w:ascii="Times New Roman" w:hAnsi="Times New Roman" w:cs="Times New Roman"/>
      </w:rPr>
    </w:lvl>
    <w:lvl w:ilvl="3" w:tplc="1C09000F">
      <w:start w:val="1"/>
      <w:numFmt w:val="decimal"/>
      <w:lvlText w:val="%4."/>
      <w:lvlJc w:val="left"/>
      <w:pPr>
        <w:ind w:left="2520" w:hanging="360"/>
      </w:pPr>
      <w:rPr>
        <w:rFonts w:ascii="Times New Roman" w:hAnsi="Times New Roman" w:cs="Times New Roman"/>
      </w:rPr>
    </w:lvl>
    <w:lvl w:ilvl="4" w:tplc="1C090019">
      <w:start w:val="1"/>
      <w:numFmt w:val="lowerLetter"/>
      <w:lvlText w:val="%5."/>
      <w:lvlJc w:val="left"/>
      <w:pPr>
        <w:ind w:left="3240" w:hanging="360"/>
      </w:pPr>
      <w:rPr>
        <w:rFonts w:ascii="Times New Roman" w:hAnsi="Times New Roman" w:cs="Times New Roman"/>
      </w:rPr>
    </w:lvl>
    <w:lvl w:ilvl="5" w:tplc="1C09001B">
      <w:start w:val="1"/>
      <w:numFmt w:val="lowerRoman"/>
      <w:lvlText w:val="%6."/>
      <w:lvlJc w:val="right"/>
      <w:pPr>
        <w:ind w:left="3960" w:hanging="180"/>
      </w:pPr>
      <w:rPr>
        <w:rFonts w:ascii="Times New Roman" w:hAnsi="Times New Roman" w:cs="Times New Roman"/>
      </w:rPr>
    </w:lvl>
    <w:lvl w:ilvl="6" w:tplc="1C09000F">
      <w:start w:val="1"/>
      <w:numFmt w:val="decimal"/>
      <w:lvlText w:val="%7."/>
      <w:lvlJc w:val="left"/>
      <w:pPr>
        <w:ind w:left="4680" w:hanging="360"/>
      </w:pPr>
      <w:rPr>
        <w:rFonts w:ascii="Times New Roman" w:hAnsi="Times New Roman" w:cs="Times New Roman"/>
      </w:rPr>
    </w:lvl>
    <w:lvl w:ilvl="7" w:tplc="1C090019">
      <w:start w:val="1"/>
      <w:numFmt w:val="lowerLetter"/>
      <w:lvlText w:val="%8."/>
      <w:lvlJc w:val="left"/>
      <w:pPr>
        <w:ind w:left="5400" w:hanging="360"/>
      </w:pPr>
      <w:rPr>
        <w:rFonts w:ascii="Times New Roman" w:hAnsi="Times New Roman" w:cs="Times New Roman"/>
      </w:rPr>
    </w:lvl>
    <w:lvl w:ilvl="8" w:tplc="1C09001B">
      <w:start w:val="1"/>
      <w:numFmt w:val="lowerRoman"/>
      <w:lvlText w:val="%9."/>
      <w:lvlJc w:val="right"/>
      <w:pPr>
        <w:ind w:left="6120" w:hanging="180"/>
      </w:pPr>
      <w:rPr>
        <w:rFonts w:ascii="Times New Roman" w:hAnsi="Times New Roman" w:cs="Times New Roman"/>
      </w:rPr>
    </w:lvl>
  </w:abstractNum>
  <w:num w:numId="1">
    <w:abstractNumId w:val="45"/>
  </w:num>
  <w:num w:numId="2">
    <w:abstractNumId w:val="46"/>
  </w:num>
  <w:num w:numId="3">
    <w:abstractNumId w:val="4"/>
  </w:num>
  <w:num w:numId="4">
    <w:abstractNumId w:val="44"/>
  </w:num>
  <w:num w:numId="5">
    <w:abstractNumId w:val="48"/>
  </w:num>
  <w:num w:numId="6">
    <w:abstractNumId w:val="36"/>
  </w:num>
  <w:num w:numId="7">
    <w:abstractNumId w:val="22"/>
  </w:num>
  <w:num w:numId="8">
    <w:abstractNumId w:val="16"/>
  </w:num>
  <w:num w:numId="9">
    <w:abstractNumId w:val="2"/>
  </w:num>
  <w:num w:numId="10">
    <w:abstractNumId w:val="39"/>
  </w:num>
  <w:num w:numId="11">
    <w:abstractNumId w:val="9"/>
  </w:num>
  <w:num w:numId="12">
    <w:abstractNumId w:val="29"/>
  </w:num>
  <w:num w:numId="13">
    <w:abstractNumId w:val="42"/>
  </w:num>
  <w:num w:numId="14">
    <w:abstractNumId w:val="33"/>
  </w:num>
  <w:num w:numId="15">
    <w:abstractNumId w:val="17"/>
  </w:num>
  <w:num w:numId="16">
    <w:abstractNumId w:val="27"/>
  </w:num>
  <w:num w:numId="17">
    <w:abstractNumId w:val="40"/>
  </w:num>
  <w:num w:numId="18">
    <w:abstractNumId w:val="23"/>
  </w:num>
  <w:num w:numId="19">
    <w:abstractNumId w:val="49"/>
  </w:num>
  <w:num w:numId="20">
    <w:abstractNumId w:val="8"/>
  </w:num>
  <w:num w:numId="21">
    <w:abstractNumId w:val="50"/>
  </w:num>
  <w:num w:numId="22">
    <w:abstractNumId w:val="25"/>
  </w:num>
  <w:num w:numId="23">
    <w:abstractNumId w:val="7"/>
  </w:num>
  <w:num w:numId="24">
    <w:abstractNumId w:val="47"/>
  </w:num>
  <w:num w:numId="25">
    <w:abstractNumId w:val="53"/>
  </w:num>
  <w:num w:numId="26">
    <w:abstractNumId w:val="43"/>
  </w:num>
  <w:num w:numId="27">
    <w:abstractNumId w:val="41"/>
  </w:num>
  <w:num w:numId="28">
    <w:abstractNumId w:val="52"/>
  </w:num>
  <w:num w:numId="29">
    <w:abstractNumId w:val="35"/>
  </w:num>
  <w:num w:numId="30">
    <w:abstractNumId w:val="12"/>
  </w:num>
  <w:num w:numId="31">
    <w:abstractNumId w:val="21"/>
  </w:num>
  <w:num w:numId="32">
    <w:abstractNumId w:val="18"/>
  </w:num>
  <w:num w:numId="33">
    <w:abstractNumId w:val="26"/>
  </w:num>
  <w:num w:numId="34">
    <w:abstractNumId w:val="10"/>
  </w:num>
  <w:num w:numId="35">
    <w:abstractNumId w:val="1"/>
  </w:num>
  <w:num w:numId="36">
    <w:abstractNumId w:val="51"/>
  </w:num>
  <w:num w:numId="37">
    <w:abstractNumId w:val="30"/>
  </w:num>
  <w:num w:numId="38">
    <w:abstractNumId w:val="0"/>
  </w:num>
  <w:num w:numId="39">
    <w:abstractNumId w:val="31"/>
  </w:num>
  <w:num w:numId="40">
    <w:abstractNumId w:val="19"/>
  </w:num>
  <w:num w:numId="41">
    <w:abstractNumId w:val="15"/>
  </w:num>
  <w:num w:numId="42">
    <w:abstractNumId w:val="37"/>
  </w:num>
  <w:num w:numId="43">
    <w:abstractNumId w:val="20"/>
  </w:num>
  <w:num w:numId="44">
    <w:abstractNumId w:val="14"/>
  </w:num>
  <w:num w:numId="45">
    <w:abstractNumId w:val="5"/>
  </w:num>
  <w:num w:numId="46">
    <w:abstractNumId w:val="24"/>
  </w:num>
  <w:num w:numId="47">
    <w:abstractNumId w:val="34"/>
  </w:num>
  <w:num w:numId="48">
    <w:abstractNumId w:val="11"/>
  </w:num>
  <w:num w:numId="49">
    <w:abstractNumId w:val="13"/>
  </w:num>
  <w:num w:numId="50">
    <w:abstractNumId w:val="38"/>
  </w:num>
  <w:num w:numId="51">
    <w:abstractNumId w:val="54"/>
  </w:num>
  <w:num w:numId="52">
    <w:abstractNumId w:val="3"/>
  </w:num>
  <w:num w:numId="53">
    <w:abstractNumId w:val="6"/>
  </w:num>
  <w:num w:numId="54">
    <w:abstractNumId w:val="28"/>
  </w:num>
  <w:num w:numId="55">
    <w:abstractNumId w:val="3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hyphenationZone w:val="425"/>
  <w:doNotHyphenateCaps/>
  <w:characterSpacingControl w:val="doNotCompress"/>
  <w:doNotValidateAgainstSchema/>
  <w:doNotDemarcateInvalidXml/>
  <w:hdrShapeDefaults>
    <o:shapedefaults v:ext="edit" spidmax="1843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7884"/>
    <w:rsid w:val="000112F7"/>
    <w:rsid w:val="00031151"/>
    <w:rsid w:val="00042484"/>
    <w:rsid w:val="00112B54"/>
    <w:rsid w:val="00133632"/>
    <w:rsid w:val="0021531A"/>
    <w:rsid w:val="00251C3B"/>
    <w:rsid w:val="002C6580"/>
    <w:rsid w:val="00313332"/>
    <w:rsid w:val="0034040D"/>
    <w:rsid w:val="00462DAC"/>
    <w:rsid w:val="004823AB"/>
    <w:rsid w:val="004D677B"/>
    <w:rsid w:val="00556CD8"/>
    <w:rsid w:val="00574D35"/>
    <w:rsid w:val="00584F48"/>
    <w:rsid w:val="00591724"/>
    <w:rsid w:val="005A5796"/>
    <w:rsid w:val="005C1F24"/>
    <w:rsid w:val="005E1700"/>
    <w:rsid w:val="00616076"/>
    <w:rsid w:val="00717A10"/>
    <w:rsid w:val="007F31EF"/>
    <w:rsid w:val="007F44B4"/>
    <w:rsid w:val="008516DC"/>
    <w:rsid w:val="00851B14"/>
    <w:rsid w:val="00854483"/>
    <w:rsid w:val="0085555C"/>
    <w:rsid w:val="00883A71"/>
    <w:rsid w:val="008A1BC5"/>
    <w:rsid w:val="008A67CC"/>
    <w:rsid w:val="008B77BE"/>
    <w:rsid w:val="0093204D"/>
    <w:rsid w:val="009B2533"/>
    <w:rsid w:val="009C0DEC"/>
    <w:rsid w:val="009F5DC2"/>
    <w:rsid w:val="00A35F3D"/>
    <w:rsid w:val="00A76DF7"/>
    <w:rsid w:val="00AA30E5"/>
    <w:rsid w:val="00AA384C"/>
    <w:rsid w:val="00AA4C5D"/>
    <w:rsid w:val="00AB7884"/>
    <w:rsid w:val="00AD2736"/>
    <w:rsid w:val="00B3403A"/>
    <w:rsid w:val="00B86DF9"/>
    <w:rsid w:val="00BE1B9C"/>
    <w:rsid w:val="00BF28FD"/>
    <w:rsid w:val="00BF4266"/>
    <w:rsid w:val="00C175F5"/>
    <w:rsid w:val="00C42A6B"/>
    <w:rsid w:val="00CF6FD6"/>
    <w:rsid w:val="00D120BF"/>
    <w:rsid w:val="00E05378"/>
    <w:rsid w:val="00ED0F17"/>
    <w:rsid w:val="00EE12BC"/>
    <w:rsid w:val="00FD4A28"/>
    <w:rsid w:val="00FF4C6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Acronym" w:unhideWhenUsed="1"/>
    <w:lsdException w:name="HTML Address"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120BF"/>
    <w:rPr>
      <w:rFonts w:ascii="Arial" w:hAnsi="Arial" w:cs="Arial"/>
      <w:lang w:val="en-GB"/>
    </w:rPr>
  </w:style>
  <w:style w:type="paragraph" w:styleId="Heading1">
    <w:name w:val="heading 1"/>
    <w:basedOn w:val="Normal"/>
    <w:next w:val="Normal"/>
    <w:link w:val="Heading1Char"/>
    <w:uiPriority w:val="99"/>
    <w:qFormat/>
    <w:rsid w:val="00D120BF"/>
    <w:pPr>
      <w:keepNext/>
      <w:spacing w:before="120" w:after="120"/>
      <w:outlineLvl w:val="0"/>
    </w:pPr>
    <w:rPr>
      <w:b/>
      <w:bCs/>
      <w:kern w:val="32"/>
      <w:sz w:val="32"/>
      <w:szCs w:val="32"/>
    </w:rPr>
  </w:style>
  <w:style w:type="paragraph" w:styleId="Heading2">
    <w:name w:val="heading 2"/>
    <w:basedOn w:val="Normal"/>
    <w:next w:val="Normal"/>
    <w:link w:val="Heading2Char"/>
    <w:uiPriority w:val="99"/>
    <w:qFormat/>
    <w:rsid w:val="00D120BF"/>
    <w:pPr>
      <w:keepNext/>
      <w:keepLines/>
      <w:spacing w:before="200"/>
      <w:outlineLvl w:val="1"/>
    </w:pPr>
    <w:rPr>
      <w:rFonts w:ascii="Cambria" w:hAnsi="Cambria" w:cs="Cambria"/>
      <w:b/>
      <w:bCs/>
      <w:sz w:val="26"/>
      <w:szCs w:val="26"/>
    </w:rPr>
  </w:style>
  <w:style w:type="paragraph" w:styleId="Heading3">
    <w:name w:val="heading 3"/>
    <w:basedOn w:val="Normal"/>
    <w:next w:val="Normal"/>
    <w:link w:val="Heading3Char"/>
    <w:uiPriority w:val="99"/>
    <w:qFormat/>
    <w:rsid w:val="00D120BF"/>
    <w:pPr>
      <w:keepNext/>
      <w:keepLines/>
      <w:spacing w:before="200"/>
      <w:outlineLvl w:val="2"/>
    </w:pPr>
    <w:rPr>
      <w:rFonts w:ascii="Cambria" w:hAnsi="Cambria" w:cs="Cambria"/>
      <w:b/>
      <w:bCs/>
      <w:sz w:val="24"/>
      <w:szCs w:val="24"/>
    </w:rPr>
  </w:style>
  <w:style w:type="paragraph" w:styleId="Heading4">
    <w:name w:val="heading 4"/>
    <w:basedOn w:val="Normal"/>
    <w:next w:val="Normal"/>
    <w:link w:val="Heading4Char"/>
    <w:uiPriority w:val="99"/>
    <w:qFormat/>
    <w:rsid w:val="00D120BF"/>
    <w:pPr>
      <w:keepNext/>
      <w:keepLines/>
      <w:spacing w:before="200"/>
      <w:outlineLvl w:val="3"/>
    </w:pPr>
    <w:rPr>
      <w:rFonts w:ascii="Cambria" w:hAnsi="Cambria" w:cs="Cambria"/>
      <w:b/>
      <w:bCs/>
      <w:i/>
      <w:iCs/>
      <w:sz w:val="24"/>
      <w:szCs w:val="24"/>
    </w:rPr>
  </w:style>
  <w:style w:type="paragraph" w:styleId="Heading5">
    <w:name w:val="heading 5"/>
    <w:basedOn w:val="Normal"/>
    <w:next w:val="Normal"/>
    <w:link w:val="Heading5Char"/>
    <w:uiPriority w:val="99"/>
    <w:qFormat/>
    <w:rsid w:val="00D120BF"/>
    <w:pPr>
      <w:keepNext/>
      <w:keepLines/>
      <w:spacing w:before="200"/>
      <w:outlineLvl w:val="4"/>
    </w:pPr>
    <w:rPr>
      <w:rFonts w:ascii="Cambria" w:hAnsi="Cambria" w:cs="Cambria"/>
      <w:sz w:val="24"/>
      <w:szCs w:val="24"/>
    </w:rPr>
  </w:style>
  <w:style w:type="paragraph" w:styleId="Heading6">
    <w:name w:val="heading 6"/>
    <w:basedOn w:val="Normal"/>
    <w:next w:val="Normal"/>
    <w:link w:val="Heading6Char"/>
    <w:uiPriority w:val="99"/>
    <w:qFormat/>
    <w:rsid w:val="00D120BF"/>
    <w:pPr>
      <w:keepNext/>
      <w:autoSpaceDE w:val="0"/>
      <w:autoSpaceDN w:val="0"/>
      <w:adjustRightInd w:val="0"/>
      <w:spacing w:before="120"/>
      <w:outlineLvl w:val="5"/>
    </w:pPr>
    <w:rPr>
      <w:rFonts w:ascii="Trebuchet MS" w:hAnsi="Trebuchet MS" w:cs="Trebuchet MS"/>
      <w:b/>
      <w:bCs/>
      <w:sz w:val="22"/>
      <w:szCs w:val="22"/>
    </w:rPr>
  </w:style>
  <w:style w:type="paragraph" w:styleId="Heading7">
    <w:name w:val="heading 7"/>
    <w:basedOn w:val="Normal"/>
    <w:next w:val="Normal"/>
    <w:link w:val="Heading7Char"/>
    <w:uiPriority w:val="99"/>
    <w:qFormat/>
    <w:rsid w:val="00D120BF"/>
    <w:pPr>
      <w:keepNext/>
      <w:spacing w:before="120" w:after="120"/>
      <w:ind w:right="4107"/>
      <w:outlineLvl w:val="6"/>
    </w:pPr>
    <w:rPr>
      <w:b/>
      <w:bCs/>
    </w:rPr>
  </w:style>
  <w:style w:type="paragraph" w:styleId="Heading8">
    <w:name w:val="heading 8"/>
    <w:basedOn w:val="Normal"/>
    <w:next w:val="Normal"/>
    <w:link w:val="Heading8Char"/>
    <w:uiPriority w:val="99"/>
    <w:qFormat/>
    <w:rsid w:val="00D120BF"/>
    <w:pPr>
      <w:keepNext/>
      <w:spacing w:before="360" w:after="120" w:line="276" w:lineRule="auto"/>
      <w:outlineLvl w:val="7"/>
    </w:pPr>
    <w:rPr>
      <w:rFonts w:ascii="Trebuchet MS" w:hAnsi="Trebuchet MS" w:cs="Trebuchet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120BF"/>
    <w:rPr>
      <w:rFonts w:ascii="Arial" w:hAnsi="Arial" w:cs="Arial"/>
      <w:b/>
      <w:bCs/>
      <w:kern w:val="32"/>
      <w:sz w:val="32"/>
      <w:szCs w:val="32"/>
      <w:lang w:val="en-GB"/>
    </w:rPr>
  </w:style>
  <w:style w:type="character" w:customStyle="1" w:styleId="Heading2Char">
    <w:name w:val="Heading 2 Char"/>
    <w:basedOn w:val="DefaultParagraphFont"/>
    <w:link w:val="Heading2"/>
    <w:uiPriority w:val="99"/>
    <w:rsid w:val="00D120BF"/>
    <w:rPr>
      <w:rFonts w:ascii="Cambria" w:hAnsi="Cambria" w:cs="Cambria"/>
      <w:b/>
      <w:bCs/>
      <w:color w:val="auto"/>
      <w:sz w:val="26"/>
      <w:szCs w:val="26"/>
      <w:lang w:val="en-GB"/>
    </w:rPr>
  </w:style>
  <w:style w:type="character" w:customStyle="1" w:styleId="Heading3Char">
    <w:name w:val="Heading 3 Char"/>
    <w:basedOn w:val="DefaultParagraphFont"/>
    <w:link w:val="Heading3"/>
    <w:uiPriority w:val="99"/>
    <w:rsid w:val="00D120BF"/>
    <w:rPr>
      <w:rFonts w:ascii="Cambria" w:hAnsi="Cambria" w:cs="Cambria"/>
      <w:b/>
      <w:bCs/>
      <w:color w:val="auto"/>
      <w:sz w:val="24"/>
      <w:szCs w:val="24"/>
      <w:lang w:val="en-GB"/>
    </w:rPr>
  </w:style>
  <w:style w:type="character" w:customStyle="1" w:styleId="Heading4Char">
    <w:name w:val="Heading 4 Char"/>
    <w:basedOn w:val="DefaultParagraphFont"/>
    <w:link w:val="Heading4"/>
    <w:uiPriority w:val="99"/>
    <w:rsid w:val="00D120BF"/>
    <w:rPr>
      <w:rFonts w:ascii="Cambria" w:hAnsi="Cambria" w:cs="Cambria"/>
      <w:b/>
      <w:bCs/>
      <w:i/>
      <w:iCs/>
      <w:color w:val="auto"/>
      <w:sz w:val="24"/>
      <w:szCs w:val="24"/>
      <w:lang w:val="en-GB"/>
    </w:rPr>
  </w:style>
  <w:style w:type="character" w:customStyle="1" w:styleId="Heading5Char">
    <w:name w:val="Heading 5 Char"/>
    <w:basedOn w:val="DefaultParagraphFont"/>
    <w:link w:val="Heading5"/>
    <w:uiPriority w:val="99"/>
    <w:rsid w:val="00D120BF"/>
    <w:rPr>
      <w:rFonts w:ascii="Cambria" w:hAnsi="Cambria" w:cs="Cambria"/>
      <w:color w:val="auto"/>
      <w:sz w:val="24"/>
      <w:szCs w:val="24"/>
      <w:lang w:val="en-GB"/>
    </w:rPr>
  </w:style>
  <w:style w:type="character" w:customStyle="1" w:styleId="Heading6Char">
    <w:name w:val="Heading 6 Char"/>
    <w:basedOn w:val="DefaultParagraphFont"/>
    <w:link w:val="Heading6"/>
    <w:uiPriority w:val="99"/>
    <w:rsid w:val="00D120BF"/>
    <w:rPr>
      <w:rFonts w:ascii="Times New Roman" w:hAnsi="Times New Roman" w:cs="Times New Roman"/>
      <w:b/>
      <w:bCs/>
      <w:lang w:val="en-GB"/>
    </w:rPr>
  </w:style>
  <w:style w:type="character" w:customStyle="1" w:styleId="Heading7Char">
    <w:name w:val="Heading 7 Char"/>
    <w:basedOn w:val="DefaultParagraphFont"/>
    <w:link w:val="Heading7"/>
    <w:uiPriority w:val="99"/>
    <w:rsid w:val="00D120BF"/>
    <w:rPr>
      <w:rFonts w:ascii="Times New Roman" w:hAnsi="Times New Roman" w:cs="Times New Roman"/>
      <w:sz w:val="24"/>
      <w:szCs w:val="24"/>
      <w:lang w:val="en-GB"/>
    </w:rPr>
  </w:style>
  <w:style w:type="character" w:customStyle="1" w:styleId="Heading8Char">
    <w:name w:val="Heading 8 Char"/>
    <w:basedOn w:val="DefaultParagraphFont"/>
    <w:link w:val="Heading8"/>
    <w:uiPriority w:val="99"/>
    <w:rsid w:val="00D120BF"/>
    <w:rPr>
      <w:rFonts w:ascii="Times New Roman" w:hAnsi="Times New Roman" w:cs="Times New Roman"/>
      <w:i/>
      <w:iCs/>
      <w:sz w:val="24"/>
      <w:szCs w:val="24"/>
      <w:lang w:val="en-GB"/>
    </w:rPr>
  </w:style>
  <w:style w:type="character" w:styleId="Hyperlink">
    <w:name w:val="Hyperlink"/>
    <w:basedOn w:val="DefaultParagraphFont"/>
    <w:uiPriority w:val="99"/>
    <w:rsid w:val="00D120BF"/>
    <w:rPr>
      <w:rFonts w:ascii="Times New Roman" w:hAnsi="Times New Roman" w:cs="Times New Roman"/>
      <w:color w:val="0000FF"/>
      <w:u w:val="single"/>
    </w:rPr>
  </w:style>
  <w:style w:type="paragraph" w:styleId="Footer">
    <w:name w:val="footer"/>
    <w:basedOn w:val="Normal"/>
    <w:link w:val="FooterChar"/>
    <w:uiPriority w:val="99"/>
    <w:rsid w:val="00D120BF"/>
    <w:pPr>
      <w:tabs>
        <w:tab w:val="center" w:pos="4320"/>
        <w:tab w:val="right" w:pos="8640"/>
      </w:tabs>
    </w:pPr>
    <w:rPr>
      <w:lang w:val="en-US"/>
    </w:rPr>
  </w:style>
  <w:style w:type="character" w:customStyle="1" w:styleId="FooterChar">
    <w:name w:val="Footer Char"/>
    <w:basedOn w:val="DefaultParagraphFont"/>
    <w:link w:val="Footer"/>
    <w:uiPriority w:val="99"/>
    <w:rsid w:val="00D120BF"/>
    <w:rPr>
      <w:rFonts w:ascii="Times New Roman" w:hAnsi="Times New Roman" w:cs="Times New Roman"/>
      <w:sz w:val="20"/>
      <w:szCs w:val="20"/>
      <w:lang w:val="en-US"/>
    </w:rPr>
  </w:style>
  <w:style w:type="character" w:styleId="PageNumber">
    <w:name w:val="page number"/>
    <w:basedOn w:val="DefaultParagraphFont"/>
    <w:uiPriority w:val="99"/>
    <w:rsid w:val="00D120BF"/>
    <w:rPr>
      <w:rFonts w:ascii="Times New Roman" w:hAnsi="Times New Roman" w:cs="Times New Roman"/>
    </w:rPr>
  </w:style>
  <w:style w:type="paragraph" w:styleId="ListParagraph">
    <w:name w:val="List Paragraph"/>
    <w:basedOn w:val="Normal"/>
    <w:uiPriority w:val="99"/>
    <w:qFormat/>
    <w:rsid w:val="00D120BF"/>
    <w:pPr>
      <w:ind w:left="720"/>
    </w:pPr>
  </w:style>
  <w:style w:type="character" w:styleId="CommentReference">
    <w:name w:val="annotation reference"/>
    <w:basedOn w:val="DefaultParagraphFont"/>
    <w:uiPriority w:val="99"/>
    <w:rsid w:val="00D120BF"/>
    <w:rPr>
      <w:rFonts w:ascii="Times New Roman" w:hAnsi="Times New Roman" w:cs="Times New Roman"/>
      <w:sz w:val="16"/>
      <w:szCs w:val="16"/>
    </w:rPr>
  </w:style>
  <w:style w:type="paragraph" w:styleId="CommentText">
    <w:name w:val="annotation text"/>
    <w:basedOn w:val="Normal"/>
    <w:link w:val="CommentTextChar"/>
    <w:uiPriority w:val="99"/>
    <w:rsid w:val="00D120BF"/>
  </w:style>
  <w:style w:type="character" w:customStyle="1" w:styleId="CommentTextChar">
    <w:name w:val="Comment Text Char"/>
    <w:basedOn w:val="DefaultParagraphFont"/>
    <w:link w:val="CommentText"/>
    <w:uiPriority w:val="99"/>
    <w:rsid w:val="00D120BF"/>
    <w:rPr>
      <w:rFonts w:ascii="Arial" w:hAnsi="Arial" w:cs="Arial"/>
      <w:sz w:val="20"/>
      <w:szCs w:val="20"/>
      <w:lang w:val="en-GB"/>
    </w:rPr>
  </w:style>
  <w:style w:type="paragraph" w:styleId="BalloonText">
    <w:name w:val="Balloon Text"/>
    <w:basedOn w:val="Normal"/>
    <w:link w:val="BalloonTextChar"/>
    <w:uiPriority w:val="99"/>
    <w:rsid w:val="00D120BF"/>
    <w:rPr>
      <w:rFonts w:ascii="Tahoma" w:hAnsi="Tahoma" w:cs="Tahoma"/>
      <w:sz w:val="16"/>
      <w:szCs w:val="16"/>
    </w:rPr>
  </w:style>
  <w:style w:type="character" w:customStyle="1" w:styleId="BalloonTextChar">
    <w:name w:val="Balloon Text Char"/>
    <w:basedOn w:val="DefaultParagraphFont"/>
    <w:link w:val="BalloonText"/>
    <w:uiPriority w:val="99"/>
    <w:rsid w:val="00D120BF"/>
    <w:rPr>
      <w:rFonts w:ascii="Tahoma" w:hAnsi="Tahoma" w:cs="Tahoma"/>
      <w:sz w:val="16"/>
      <w:szCs w:val="16"/>
      <w:lang w:val="en-GB"/>
    </w:rPr>
  </w:style>
  <w:style w:type="paragraph" w:customStyle="1" w:styleId="articletitle">
    <w:name w:val="articletitle"/>
    <w:basedOn w:val="Normal"/>
    <w:uiPriority w:val="99"/>
    <w:rsid w:val="00D120BF"/>
    <w:pPr>
      <w:spacing w:before="100" w:beforeAutospacing="1" w:after="100" w:afterAutospacing="1"/>
    </w:pPr>
    <w:rPr>
      <w:sz w:val="24"/>
      <w:szCs w:val="24"/>
      <w:lang w:val="en-ZA" w:eastAsia="en-ZA"/>
    </w:rPr>
  </w:style>
  <w:style w:type="character" w:styleId="Strong">
    <w:name w:val="Strong"/>
    <w:basedOn w:val="DefaultParagraphFont"/>
    <w:uiPriority w:val="99"/>
    <w:qFormat/>
    <w:rsid w:val="00D120BF"/>
    <w:rPr>
      <w:rFonts w:ascii="Times New Roman" w:hAnsi="Times New Roman" w:cs="Times New Roman"/>
      <w:b/>
      <w:bCs/>
    </w:rPr>
  </w:style>
  <w:style w:type="paragraph" w:customStyle="1" w:styleId="aligncenter">
    <w:name w:val="aligncenter"/>
    <w:basedOn w:val="Normal"/>
    <w:uiPriority w:val="99"/>
    <w:rsid w:val="00D120BF"/>
    <w:pPr>
      <w:spacing w:before="100" w:beforeAutospacing="1" w:after="100" w:afterAutospacing="1"/>
    </w:pPr>
    <w:rPr>
      <w:sz w:val="24"/>
      <w:szCs w:val="24"/>
      <w:lang w:val="en-ZA" w:eastAsia="en-ZA"/>
    </w:rPr>
  </w:style>
  <w:style w:type="paragraph" w:styleId="NormalWeb">
    <w:name w:val="Normal (Web)"/>
    <w:basedOn w:val="Normal"/>
    <w:uiPriority w:val="99"/>
    <w:rsid w:val="00D120BF"/>
    <w:pPr>
      <w:spacing w:before="100" w:beforeAutospacing="1" w:after="100" w:afterAutospacing="1"/>
    </w:pPr>
    <w:rPr>
      <w:sz w:val="24"/>
      <w:szCs w:val="24"/>
      <w:lang w:val="en-ZA" w:eastAsia="en-ZA"/>
    </w:rPr>
  </w:style>
  <w:style w:type="character" w:customStyle="1" w:styleId="subsection">
    <w:name w:val="subsection"/>
    <w:uiPriority w:val="99"/>
    <w:rsid w:val="00D120BF"/>
  </w:style>
  <w:style w:type="character" w:customStyle="1" w:styleId="alignright">
    <w:name w:val="alignright"/>
    <w:uiPriority w:val="99"/>
    <w:rsid w:val="00D120BF"/>
  </w:style>
  <w:style w:type="paragraph" w:styleId="PlainText">
    <w:name w:val="Plain Text"/>
    <w:basedOn w:val="Normal"/>
    <w:link w:val="PlainTextChar"/>
    <w:uiPriority w:val="99"/>
    <w:rsid w:val="00D120BF"/>
    <w:rPr>
      <w:rFonts w:ascii="Courier New" w:hAnsi="Courier New" w:cs="Courier New"/>
      <w:lang w:eastAsia="en-ZA"/>
    </w:rPr>
  </w:style>
  <w:style w:type="character" w:customStyle="1" w:styleId="PlainTextChar">
    <w:name w:val="Plain Text Char"/>
    <w:basedOn w:val="DefaultParagraphFont"/>
    <w:link w:val="PlainText"/>
    <w:uiPriority w:val="99"/>
    <w:rsid w:val="00D120BF"/>
    <w:rPr>
      <w:rFonts w:ascii="Courier New" w:hAnsi="Courier New" w:cs="Courier New"/>
      <w:sz w:val="20"/>
      <w:szCs w:val="20"/>
      <w:lang w:val="en-GB" w:eastAsia="en-ZA"/>
    </w:rPr>
  </w:style>
  <w:style w:type="paragraph" w:customStyle="1" w:styleId="Default">
    <w:name w:val="Default"/>
    <w:uiPriority w:val="99"/>
    <w:rsid w:val="00D120BF"/>
    <w:pPr>
      <w:autoSpaceDE w:val="0"/>
      <w:autoSpaceDN w:val="0"/>
      <w:adjustRightInd w:val="0"/>
    </w:pPr>
    <w:rPr>
      <w:rFonts w:ascii="Arial" w:hAnsi="Arial" w:cs="Arial"/>
      <w:color w:val="000000"/>
      <w:sz w:val="24"/>
      <w:szCs w:val="24"/>
      <w:lang w:val="en-ZA"/>
    </w:rPr>
  </w:style>
  <w:style w:type="paragraph" w:customStyle="1" w:styleId="source">
    <w:name w:val="source"/>
    <w:basedOn w:val="Normal"/>
    <w:uiPriority w:val="99"/>
    <w:rsid w:val="00D120BF"/>
    <w:pPr>
      <w:spacing w:before="100" w:beforeAutospacing="1" w:after="100" w:afterAutospacing="1"/>
    </w:pPr>
    <w:rPr>
      <w:sz w:val="24"/>
      <w:szCs w:val="24"/>
      <w:lang w:val="en-ZA" w:eastAsia="en-ZA"/>
    </w:rPr>
  </w:style>
  <w:style w:type="character" w:styleId="HTMLCite">
    <w:name w:val="HTML Cite"/>
    <w:basedOn w:val="DefaultParagraphFont"/>
    <w:uiPriority w:val="99"/>
    <w:rsid w:val="00D120BF"/>
    <w:rPr>
      <w:rFonts w:ascii="Times New Roman" w:hAnsi="Times New Roman" w:cs="Times New Roman"/>
      <w:i/>
      <w:iCs/>
    </w:rPr>
  </w:style>
  <w:style w:type="character" w:styleId="Emphasis">
    <w:name w:val="Emphasis"/>
    <w:basedOn w:val="DefaultParagraphFont"/>
    <w:uiPriority w:val="99"/>
    <w:qFormat/>
    <w:rsid w:val="00D120BF"/>
    <w:rPr>
      <w:rFonts w:ascii="Times New Roman" w:hAnsi="Times New Roman" w:cs="Times New Roman"/>
      <w:i/>
      <w:iCs/>
    </w:rPr>
  </w:style>
  <w:style w:type="character" w:customStyle="1" w:styleId="nav-kicker">
    <w:name w:val="nav-kicker"/>
    <w:uiPriority w:val="99"/>
    <w:rsid w:val="00D120BF"/>
  </w:style>
  <w:style w:type="character" w:customStyle="1" w:styleId="heading">
    <w:name w:val="heading"/>
    <w:uiPriority w:val="99"/>
    <w:rsid w:val="00D120BF"/>
  </w:style>
  <w:style w:type="paragraph" w:styleId="z-TopofForm">
    <w:name w:val="HTML Top of Form"/>
    <w:basedOn w:val="Normal"/>
    <w:next w:val="Normal"/>
    <w:link w:val="z-TopofFormChar"/>
    <w:hidden/>
    <w:uiPriority w:val="99"/>
    <w:rsid w:val="00D120BF"/>
    <w:pPr>
      <w:pBdr>
        <w:bottom w:val="single" w:sz="6" w:space="1" w:color="auto"/>
      </w:pBdr>
      <w:jc w:val="center"/>
    </w:pPr>
    <w:rPr>
      <w:vanish/>
      <w:sz w:val="16"/>
      <w:szCs w:val="16"/>
      <w:lang w:val="en-US" w:eastAsia="en-ZA"/>
    </w:rPr>
  </w:style>
  <w:style w:type="character" w:customStyle="1" w:styleId="z-TopofFormChar">
    <w:name w:val="z-Top of Form Char"/>
    <w:basedOn w:val="DefaultParagraphFont"/>
    <w:link w:val="z-TopofForm"/>
    <w:uiPriority w:val="99"/>
    <w:rsid w:val="00D120BF"/>
    <w:rPr>
      <w:rFonts w:ascii="Arial" w:hAnsi="Arial" w:cs="Arial"/>
      <w:vanish/>
      <w:sz w:val="16"/>
      <w:szCs w:val="16"/>
      <w:lang w:eastAsia="en-ZA"/>
    </w:rPr>
  </w:style>
  <w:style w:type="paragraph" w:styleId="z-BottomofForm">
    <w:name w:val="HTML Bottom of Form"/>
    <w:basedOn w:val="Normal"/>
    <w:next w:val="Normal"/>
    <w:link w:val="z-BottomofFormChar"/>
    <w:hidden/>
    <w:uiPriority w:val="99"/>
    <w:rsid w:val="00D120BF"/>
    <w:pPr>
      <w:pBdr>
        <w:top w:val="single" w:sz="6" w:space="1" w:color="auto"/>
      </w:pBdr>
      <w:jc w:val="center"/>
    </w:pPr>
    <w:rPr>
      <w:vanish/>
      <w:sz w:val="16"/>
      <w:szCs w:val="16"/>
      <w:lang w:val="en-US" w:eastAsia="en-ZA"/>
    </w:rPr>
  </w:style>
  <w:style w:type="character" w:customStyle="1" w:styleId="z-BottomofFormChar">
    <w:name w:val="z-Bottom of Form Char"/>
    <w:basedOn w:val="DefaultParagraphFont"/>
    <w:link w:val="z-BottomofForm"/>
    <w:uiPriority w:val="99"/>
    <w:rsid w:val="00D120BF"/>
    <w:rPr>
      <w:rFonts w:ascii="Arial" w:hAnsi="Arial" w:cs="Arial"/>
      <w:vanish/>
      <w:sz w:val="16"/>
      <w:szCs w:val="16"/>
      <w:lang w:eastAsia="en-ZA"/>
    </w:rPr>
  </w:style>
  <w:style w:type="paragraph" w:customStyle="1" w:styleId="paralargetext">
    <w:name w:val="paralargetext"/>
    <w:basedOn w:val="Normal"/>
    <w:uiPriority w:val="99"/>
    <w:rsid w:val="00D120BF"/>
    <w:pPr>
      <w:spacing w:before="100" w:beforeAutospacing="1" w:after="100" w:afterAutospacing="1"/>
    </w:pPr>
    <w:rPr>
      <w:sz w:val="24"/>
      <w:szCs w:val="24"/>
      <w:lang w:val="en-ZA" w:eastAsia="en-ZA"/>
    </w:rPr>
  </w:style>
  <w:style w:type="character" w:customStyle="1" w:styleId="text">
    <w:name w:val="text"/>
    <w:uiPriority w:val="99"/>
    <w:rsid w:val="00D120BF"/>
  </w:style>
  <w:style w:type="paragraph" w:customStyle="1" w:styleId="itemdesc">
    <w:name w:val="item_desc"/>
    <w:basedOn w:val="Normal"/>
    <w:uiPriority w:val="99"/>
    <w:rsid w:val="00D120BF"/>
    <w:pPr>
      <w:spacing w:before="100" w:beforeAutospacing="1" w:after="100" w:afterAutospacing="1"/>
    </w:pPr>
    <w:rPr>
      <w:sz w:val="24"/>
      <w:szCs w:val="24"/>
      <w:lang w:val="en-ZA" w:eastAsia="en-ZA"/>
    </w:rPr>
  </w:style>
  <w:style w:type="paragraph" w:customStyle="1" w:styleId="itemposition">
    <w:name w:val="item_position"/>
    <w:basedOn w:val="Normal"/>
    <w:uiPriority w:val="99"/>
    <w:rsid w:val="00D120BF"/>
    <w:pPr>
      <w:spacing w:before="100" w:beforeAutospacing="1" w:after="100" w:afterAutospacing="1"/>
    </w:pPr>
    <w:rPr>
      <w:sz w:val="24"/>
      <w:szCs w:val="24"/>
      <w:lang w:val="en-ZA" w:eastAsia="en-ZA"/>
    </w:rPr>
  </w:style>
  <w:style w:type="character" w:customStyle="1" w:styleId="pagenum">
    <w:name w:val="pagenum"/>
    <w:uiPriority w:val="99"/>
    <w:rsid w:val="00D120BF"/>
  </w:style>
  <w:style w:type="character" w:customStyle="1" w:styleId="iconlink">
    <w:name w:val="icon_link"/>
    <w:uiPriority w:val="99"/>
    <w:rsid w:val="00D120BF"/>
  </w:style>
  <w:style w:type="character" w:customStyle="1" w:styleId="meta-nav">
    <w:name w:val="meta-nav"/>
    <w:uiPriority w:val="99"/>
    <w:rsid w:val="00D120BF"/>
  </w:style>
  <w:style w:type="paragraph" w:customStyle="1" w:styleId="style3">
    <w:name w:val="style3"/>
    <w:basedOn w:val="Normal"/>
    <w:uiPriority w:val="99"/>
    <w:rsid w:val="00D120BF"/>
    <w:pPr>
      <w:spacing w:before="100" w:beforeAutospacing="1" w:after="100" w:afterAutospacing="1"/>
    </w:pPr>
    <w:rPr>
      <w:sz w:val="24"/>
      <w:szCs w:val="24"/>
      <w:lang w:val="en-ZA" w:eastAsia="en-ZA"/>
    </w:rPr>
  </w:style>
  <w:style w:type="character" w:customStyle="1" w:styleId="style10">
    <w:name w:val="style10"/>
    <w:uiPriority w:val="99"/>
    <w:rsid w:val="00D120BF"/>
  </w:style>
  <w:style w:type="paragraph" w:customStyle="1" w:styleId="lead">
    <w:name w:val="lead"/>
    <w:basedOn w:val="Normal"/>
    <w:uiPriority w:val="99"/>
    <w:rsid w:val="00D120BF"/>
    <w:pPr>
      <w:spacing w:before="100" w:beforeAutospacing="1" w:after="100" w:afterAutospacing="1"/>
    </w:pPr>
    <w:rPr>
      <w:sz w:val="24"/>
      <w:szCs w:val="24"/>
      <w:lang w:val="en-ZA" w:eastAsia="en-ZA"/>
    </w:rPr>
  </w:style>
  <w:style w:type="paragraph" w:customStyle="1" w:styleId="CH11">
    <w:name w:val="CH 11"/>
    <w:basedOn w:val="Normal"/>
    <w:uiPriority w:val="99"/>
    <w:rsid w:val="00D120BF"/>
    <w:pPr>
      <w:widowControl w:val="0"/>
      <w:autoSpaceDE w:val="0"/>
      <w:autoSpaceDN w:val="0"/>
      <w:adjustRightInd w:val="0"/>
    </w:pPr>
    <w:rPr>
      <w:rFonts w:ascii="Verdana" w:hAnsi="Verdana" w:cs="Verdana"/>
      <w:b/>
      <w:bCs/>
      <w:sz w:val="52"/>
      <w:szCs w:val="52"/>
    </w:rPr>
  </w:style>
  <w:style w:type="paragraph" w:styleId="NoSpacing">
    <w:name w:val="No Spacing"/>
    <w:uiPriority w:val="99"/>
    <w:qFormat/>
    <w:rsid w:val="00D120BF"/>
    <w:rPr>
      <w:rFonts w:ascii="Arial" w:hAnsi="Arial" w:cs="Arial"/>
      <w:lang w:val="en-GB"/>
    </w:rPr>
  </w:style>
  <w:style w:type="paragraph" w:styleId="Header">
    <w:name w:val="header"/>
    <w:basedOn w:val="Normal"/>
    <w:link w:val="HeaderChar"/>
    <w:uiPriority w:val="99"/>
    <w:rsid w:val="00D120BF"/>
    <w:pPr>
      <w:tabs>
        <w:tab w:val="center" w:pos="4513"/>
        <w:tab w:val="right" w:pos="9026"/>
      </w:tabs>
    </w:pPr>
    <w:rPr>
      <w:sz w:val="24"/>
      <w:szCs w:val="24"/>
    </w:rPr>
  </w:style>
  <w:style w:type="character" w:customStyle="1" w:styleId="HeaderChar">
    <w:name w:val="Header Char"/>
    <w:basedOn w:val="DefaultParagraphFont"/>
    <w:link w:val="Header"/>
    <w:uiPriority w:val="99"/>
    <w:rsid w:val="00D120BF"/>
    <w:rPr>
      <w:rFonts w:ascii="Arial" w:hAnsi="Arial" w:cs="Arial"/>
      <w:sz w:val="24"/>
      <w:szCs w:val="24"/>
      <w:lang w:val="en-GB"/>
    </w:rPr>
  </w:style>
  <w:style w:type="paragraph" w:styleId="CommentSubject">
    <w:name w:val="annotation subject"/>
    <w:basedOn w:val="CommentText"/>
    <w:next w:val="CommentText"/>
    <w:link w:val="CommentSubjectChar"/>
    <w:uiPriority w:val="99"/>
    <w:rsid w:val="00D120BF"/>
    <w:rPr>
      <w:b/>
      <w:bCs/>
    </w:rPr>
  </w:style>
  <w:style w:type="character" w:customStyle="1" w:styleId="CommentSubjectChar">
    <w:name w:val="Comment Subject Char"/>
    <w:basedOn w:val="CommentTextChar"/>
    <w:link w:val="CommentSubject"/>
    <w:uiPriority w:val="99"/>
    <w:rsid w:val="00D120BF"/>
    <w:rPr>
      <w:b/>
      <w:bCs/>
    </w:rPr>
  </w:style>
  <w:style w:type="paragraph" w:styleId="FootnoteText">
    <w:name w:val="footnote text"/>
    <w:basedOn w:val="Normal"/>
    <w:link w:val="FootnoteTextChar"/>
    <w:uiPriority w:val="99"/>
    <w:rsid w:val="00D120BF"/>
    <w:rPr>
      <w:rFonts w:ascii="Calibri" w:hAnsi="Calibri" w:cs="Calibri"/>
      <w:lang w:val="en-US"/>
    </w:rPr>
  </w:style>
  <w:style w:type="character" w:customStyle="1" w:styleId="FootnoteTextChar">
    <w:name w:val="Footnote Text Char"/>
    <w:basedOn w:val="DefaultParagraphFont"/>
    <w:link w:val="FootnoteText"/>
    <w:uiPriority w:val="99"/>
    <w:rsid w:val="00D120BF"/>
    <w:rPr>
      <w:rFonts w:ascii="Times New Roman" w:hAnsi="Times New Roman" w:cs="Times New Roman"/>
      <w:sz w:val="20"/>
      <w:szCs w:val="20"/>
    </w:rPr>
  </w:style>
  <w:style w:type="character" w:styleId="FootnoteReference">
    <w:name w:val="footnote reference"/>
    <w:basedOn w:val="DefaultParagraphFont"/>
    <w:uiPriority w:val="99"/>
    <w:rsid w:val="00D120BF"/>
    <w:rPr>
      <w:rFonts w:ascii="Times New Roman" w:hAnsi="Times New Roman" w:cs="Times New Roman"/>
      <w:vertAlign w:val="superscript"/>
    </w:rPr>
  </w:style>
  <w:style w:type="character" w:customStyle="1" w:styleId="byl">
    <w:name w:val="byl"/>
    <w:uiPriority w:val="99"/>
    <w:rsid w:val="00D120BF"/>
  </w:style>
  <w:style w:type="character" w:customStyle="1" w:styleId="byd">
    <w:name w:val="byd"/>
    <w:uiPriority w:val="99"/>
    <w:rsid w:val="00D120BF"/>
  </w:style>
  <w:style w:type="character" w:customStyle="1" w:styleId="texto11">
    <w:name w:val="texto11"/>
    <w:uiPriority w:val="99"/>
    <w:rsid w:val="00D120BF"/>
    <w:rPr>
      <w:rFonts w:ascii="Arial" w:hAnsi="Arial" w:cs="Arial"/>
      <w:color w:val="000000"/>
      <w:sz w:val="20"/>
      <w:szCs w:val="20"/>
    </w:rPr>
  </w:style>
  <w:style w:type="paragraph" w:styleId="Revision">
    <w:name w:val="Revision"/>
    <w:hidden/>
    <w:uiPriority w:val="99"/>
    <w:rsid w:val="00D120BF"/>
    <w:rPr>
      <w:rFonts w:ascii="Arial" w:hAnsi="Arial" w:cs="Arial"/>
      <w:lang w:val="en-GB"/>
    </w:rPr>
  </w:style>
  <w:style w:type="character" w:styleId="SubtleEmphasis">
    <w:name w:val="Subtle Emphasis"/>
    <w:basedOn w:val="DefaultParagraphFont"/>
    <w:uiPriority w:val="99"/>
    <w:qFormat/>
    <w:rsid w:val="00D120BF"/>
    <w:rPr>
      <w:rFonts w:ascii="Times New Roman" w:hAnsi="Times New Roman" w:cs="Times New Roman"/>
      <w:i/>
      <w:iCs/>
      <w:color w:val="808080"/>
    </w:rPr>
  </w:style>
  <w:style w:type="character" w:styleId="FollowedHyperlink">
    <w:name w:val="FollowedHyperlink"/>
    <w:basedOn w:val="DefaultParagraphFont"/>
    <w:uiPriority w:val="99"/>
    <w:rsid w:val="00D120BF"/>
    <w:rPr>
      <w:rFonts w:ascii="Times New Roman" w:hAnsi="Times New Roman" w:cs="Times New Roman"/>
      <w:color w:val="800080"/>
      <w:u w:val="single"/>
    </w:rPr>
  </w:style>
  <w:style w:type="paragraph" w:customStyle="1" w:styleId="paraboldtext">
    <w:name w:val="paraboldtext"/>
    <w:basedOn w:val="Normal"/>
    <w:uiPriority w:val="99"/>
    <w:rsid w:val="00D120BF"/>
    <w:pPr>
      <w:spacing w:before="100" w:beforeAutospacing="1" w:after="100" w:afterAutospacing="1"/>
    </w:pPr>
    <w:rPr>
      <w:sz w:val="24"/>
      <w:szCs w:val="24"/>
      <w:lang w:val="en-ZA" w:eastAsia="en-ZA"/>
    </w:rPr>
  </w:style>
  <w:style w:type="character" w:customStyle="1" w:styleId="yshortcuts">
    <w:name w:val="yshortcuts"/>
    <w:uiPriority w:val="99"/>
    <w:rsid w:val="00D120BF"/>
  </w:style>
  <w:style w:type="paragraph" w:styleId="EndnoteText">
    <w:name w:val="endnote text"/>
    <w:basedOn w:val="Normal"/>
    <w:link w:val="EndnoteTextChar"/>
    <w:uiPriority w:val="99"/>
    <w:rsid w:val="00D120BF"/>
    <w:rPr>
      <w:rFonts w:ascii="Calibri" w:hAnsi="Calibri" w:cs="Calibri"/>
      <w:lang w:val="en-ZA"/>
    </w:rPr>
  </w:style>
  <w:style w:type="character" w:customStyle="1" w:styleId="EndnoteTextChar">
    <w:name w:val="Endnote Text Char"/>
    <w:basedOn w:val="DefaultParagraphFont"/>
    <w:link w:val="EndnoteText"/>
    <w:uiPriority w:val="99"/>
    <w:rsid w:val="00D120BF"/>
    <w:rPr>
      <w:rFonts w:ascii="Times New Roman" w:hAnsi="Times New Roman" w:cs="Times New Roman"/>
      <w:sz w:val="20"/>
      <w:szCs w:val="20"/>
      <w:lang w:val="en-ZA" w:eastAsia="en-US"/>
    </w:rPr>
  </w:style>
  <w:style w:type="paragraph" w:customStyle="1" w:styleId="arcticletext">
    <w:name w:val="arcticle_text"/>
    <w:basedOn w:val="Normal"/>
    <w:uiPriority w:val="99"/>
    <w:rsid w:val="00D120BF"/>
    <w:pPr>
      <w:spacing w:before="100" w:beforeAutospacing="1" w:after="100" w:afterAutospacing="1"/>
    </w:pPr>
    <w:rPr>
      <w:sz w:val="24"/>
      <w:szCs w:val="24"/>
      <w:lang w:val="en-ZA" w:eastAsia="en-ZA"/>
    </w:rPr>
  </w:style>
  <w:style w:type="character" w:customStyle="1" w:styleId="ja50-ce-collaboration">
    <w:name w:val="ja50-ce-collaboration"/>
    <w:uiPriority w:val="99"/>
    <w:rsid w:val="00D120BF"/>
  </w:style>
  <w:style w:type="character" w:customStyle="1" w:styleId="ja50-ce-sup">
    <w:name w:val="ja50-ce-sup"/>
    <w:uiPriority w:val="99"/>
    <w:rsid w:val="00D120BF"/>
  </w:style>
  <w:style w:type="character" w:customStyle="1" w:styleId="citation">
    <w:name w:val="citation"/>
    <w:uiPriority w:val="99"/>
    <w:rsid w:val="00D120BF"/>
  </w:style>
  <w:style w:type="character" w:customStyle="1" w:styleId="datestamp">
    <w:name w:val="datestamp"/>
    <w:uiPriority w:val="99"/>
    <w:rsid w:val="00D120BF"/>
  </w:style>
  <w:style w:type="character" w:customStyle="1" w:styleId="printmail">
    <w:name w:val="printmail"/>
    <w:uiPriority w:val="99"/>
    <w:rsid w:val="00D120BF"/>
  </w:style>
  <w:style w:type="paragraph" w:customStyle="1" w:styleId="paranormaltext">
    <w:name w:val="paranormaltext"/>
    <w:basedOn w:val="Normal"/>
    <w:uiPriority w:val="99"/>
    <w:rsid w:val="00D120BF"/>
    <w:pPr>
      <w:spacing w:before="100" w:beforeAutospacing="1" w:after="100" w:afterAutospacing="1"/>
    </w:pPr>
    <w:rPr>
      <w:sz w:val="24"/>
      <w:szCs w:val="24"/>
      <w:lang w:val="en-ZA" w:eastAsia="en-ZA"/>
    </w:rPr>
  </w:style>
  <w:style w:type="character" w:customStyle="1" w:styleId="lingoregion">
    <w:name w:val="lingo_region"/>
    <w:uiPriority w:val="99"/>
    <w:rsid w:val="00D120BF"/>
  </w:style>
  <w:style w:type="character" w:customStyle="1" w:styleId="Emphasis1">
    <w:name w:val="Emphasis1"/>
    <w:uiPriority w:val="99"/>
    <w:rsid w:val="00D120BF"/>
  </w:style>
  <w:style w:type="paragraph" w:customStyle="1" w:styleId="Pa31">
    <w:name w:val="Pa31"/>
    <w:basedOn w:val="Default"/>
    <w:next w:val="Default"/>
    <w:uiPriority w:val="99"/>
    <w:rsid w:val="00D120BF"/>
    <w:pPr>
      <w:spacing w:line="201" w:lineRule="atLeast"/>
    </w:pPr>
    <w:rPr>
      <w:rFonts w:ascii="Minion Pro" w:hAnsi="Minion Pro" w:cs="Minion Pro"/>
      <w:color w:val="auto"/>
      <w:lang w:eastAsia="en-ZA"/>
    </w:rPr>
  </w:style>
  <w:style w:type="character" w:customStyle="1" w:styleId="descr">
    <w:name w:val="descr"/>
    <w:uiPriority w:val="99"/>
    <w:rsid w:val="00D120BF"/>
  </w:style>
  <w:style w:type="character" w:customStyle="1" w:styleId="paragraphheader">
    <w:name w:val="paragraphheader"/>
    <w:uiPriority w:val="99"/>
    <w:rsid w:val="00D120BF"/>
  </w:style>
  <w:style w:type="character" w:customStyle="1" w:styleId="a">
    <w:name w:val="a"/>
    <w:uiPriority w:val="99"/>
    <w:rsid w:val="00D120BF"/>
  </w:style>
  <w:style w:type="character" w:customStyle="1" w:styleId="marrontitulobig1">
    <w:name w:val="marron_titulo_big1"/>
    <w:uiPriority w:val="99"/>
    <w:rsid w:val="00D120BF"/>
    <w:rPr>
      <w:rFonts w:ascii="Arial" w:hAnsi="Arial" w:cs="Arial"/>
      <w:color w:val="auto"/>
      <w:sz w:val="32"/>
      <w:szCs w:val="32"/>
      <w:u w:val="none"/>
      <w:effect w:val="none"/>
    </w:rPr>
  </w:style>
  <w:style w:type="character" w:customStyle="1" w:styleId="marron1">
    <w:name w:val="marron1"/>
    <w:uiPriority w:val="99"/>
    <w:rsid w:val="00D120BF"/>
    <w:rPr>
      <w:rFonts w:ascii="Arial" w:hAnsi="Arial" w:cs="Arial"/>
      <w:b/>
      <w:bCs/>
      <w:color w:val="auto"/>
      <w:sz w:val="20"/>
      <w:szCs w:val="20"/>
      <w:u w:val="none"/>
      <w:effect w:val="none"/>
    </w:rPr>
  </w:style>
  <w:style w:type="paragraph" w:customStyle="1" w:styleId="subtitlecolourtext">
    <w:name w:val="subtitlecolourtext"/>
    <w:basedOn w:val="Normal"/>
    <w:uiPriority w:val="99"/>
    <w:rsid w:val="00D120BF"/>
    <w:pPr>
      <w:spacing w:before="100" w:beforeAutospacing="1" w:after="100" w:afterAutospacing="1"/>
    </w:pPr>
    <w:rPr>
      <w:sz w:val="24"/>
      <w:szCs w:val="24"/>
      <w:lang w:val="en-ZA" w:eastAsia="en-ZA"/>
    </w:rPr>
  </w:style>
  <w:style w:type="paragraph" w:customStyle="1" w:styleId="paranormaltext1">
    <w:name w:val="paranormaltext1"/>
    <w:basedOn w:val="Normal"/>
    <w:uiPriority w:val="99"/>
    <w:rsid w:val="00D120BF"/>
    <w:pPr>
      <w:spacing w:before="100" w:beforeAutospacing="1" w:after="100" w:afterAutospacing="1"/>
    </w:pPr>
    <w:rPr>
      <w:sz w:val="24"/>
      <w:szCs w:val="24"/>
      <w:lang w:val="en-ZA" w:eastAsia="en-ZA"/>
    </w:rPr>
  </w:style>
  <w:style w:type="character" w:customStyle="1" w:styleId="ms-article-ticker">
    <w:name w:val="ms-article-ticker"/>
    <w:uiPriority w:val="99"/>
    <w:rsid w:val="00D120BF"/>
  </w:style>
  <w:style w:type="paragraph" w:customStyle="1" w:styleId="paraboldcolourtext">
    <w:name w:val="paraboldcolourtext"/>
    <w:basedOn w:val="Normal"/>
    <w:uiPriority w:val="99"/>
    <w:rsid w:val="00D120BF"/>
    <w:pPr>
      <w:spacing w:before="100" w:beforeAutospacing="1" w:after="100" w:afterAutospacing="1"/>
    </w:pPr>
    <w:rPr>
      <w:sz w:val="24"/>
      <w:szCs w:val="24"/>
      <w:lang w:val="en-ZA" w:eastAsia="en-ZA"/>
    </w:rPr>
  </w:style>
  <w:style w:type="paragraph" w:customStyle="1" w:styleId="parasmalltext">
    <w:name w:val="parasmalltext"/>
    <w:basedOn w:val="Normal"/>
    <w:uiPriority w:val="99"/>
    <w:rsid w:val="00D120BF"/>
    <w:pPr>
      <w:spacing w:before="100" w:beforeAutospacing="1" w:after="100" w:afterAutospacing="1"/>
    </w:pPr>
    <w:rPr>
      <w:sz w:val="24"/>
      <w:szCs w:val="24"/>
      <w:lang w:val="en-ZA" w:eastAsia="en-ZA"/>
    </w:rPr>
  </w:style>
  <w:style w:type="paragraph" w:styleId="HTMLPreformatted">
    <w:name w:val="HTML Preformatted"/>
    <w:basedOn w:val="Normal"/>
    <w:link w:val="HTMLPreformattedChar"/>
    <w:uiPriority w:val="99"/>
    <w:rsid w:val="00D12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ZA" w:eastAsia="en-ZA"/>
    </w:rPr>
  </w:style>
  <w:style w:type="character" w:customStyle="1" w:styleId="HTMLPreformattedChar">
    <w:name w:val="HTML Preformatted Char"/>
    <w:basedOn w:val="DefaultParagraphFont"/>
    <w:link w:val="HTMLPreformatted"/>
    <w:uiPriority w:val="99"/>
    <w:rsid w:val="00D120BF"/>
    <w:rPr>
      <w:rFonts w:ascii="Courier New" w:hAnsi="Courier New" w:cs="Courier New"/>
    </w:rPr>
  </w:style>
  <w:style w:type="paragraph" w:customStyle="1" w:styleId="newssource">
    <w:name w:val="newssource"/>
    <w:basedOn w:val="Normal"/>
    <w:uiPriority w:val="99"/>
    <w:rsid w:val="00D120BF"/>
    <w:pPr>
      <w:spacing w:before="100" w:beforeAutospacing="1" w:after="100" w:afterAutospacing="1"/>
    </w:pPr>
    <w:rPr>
      <w:sz w:val="24"/>
      <w:szCs w:val="24"/>
      <w:lang w:val="en-ZA" w:eastAsia="en-ZA"/>
    </w:rPr>
  </w:style>
  <w:style w:type="paragraph" w:customStyle="1" w:styleId="stand-first-alone">
    <w:name w:val="stand-first-alone"/>
    <w:basedOn w:val="Normal"/>
    <w:uiPriority w:val="99"/>
    <w:rsid w:val="00D120BF"/>
    <w:pPr>
      <w:spacing w:before="100" w:beforeAutospacing="1" w:after="100" w:afterAutospacing="1"/>
    </w:pPr>
    <w:rPr>
      <w:sz w:val="24"/>
      <w:szCs w:val="24"/>
      <w:lang w:val="en-ZA" w:eastAsia="en-ZA"/>
    </w:rPr>
  </w:style>
  <w:style w:type="character" w:customStyle="1" w:styleId="redditbutton">
    <w:name w:val="reddit_button"/>
    <w:uiPriority w:val="99"/>
    <w:rsid w:val="00D120BF"/>
  </w:style>
  <w:style w:type="character" w:customStyle="1" w:styleId="l">
    <w:name w:val="l"/>
    <w:uiPriority w:val="99"/>
    <w:rsid w:val="00D120BF"/>
  </w:style>
  <w:style w:type="paragraph" w:customStyle="1" w:styleId="authors">
    <w:name w:val="authors"/>
    <w:basedOn w:val="Normal"/>
    <w:uiPriority w:val="99"/>
    <w:rsid w:val="00D120BF"/>
    <w:pPr>
      <w:spacing w:before="100" w:beforeAutospacing="1" w:after="100" w:afterAutospacing="1"/>
    </w:pPr>
    <w:rPr>
      <w:sz w:val="24"/>
      <w:szCs w:val="24"/>
      <w:lang w:val="en-ZA" w:eastAsia="en-ZA"/>
    </w:rPr>
  </w:style>
  <w:style w:type="paragraph" w:customStyle="1" w:styleId="Pa4">
    <w:name w:val="Pa4"/>
    <w:basedOn w:val="Default"/>
    <w:next w:val="Default"/>
    <w:uiPriority w:val="99"/>
    <w:rsid w:val="00D120BF"/>
    <w:pPr>
      <w:spacing w:line="221" w:lineRule="atLeast"/>
    </w:pPr>
    <w:rPr>
      <w:rFonts w:ascii="Calibri" w:hAnsi="Calibri" w:cs="Calibri"/>
      <w:color w:val="auto"/>
      <w:lang w:eastAsia="en-ZA"/>
    </w:rPr>
  </w:style>
  <w:style w:type="character" w:customStyle="1" w:styleId="A5">
    <w:name w:val="A5"/>
    <w:uiPriority w:val="99"/>
    <w:rsid w:val="00D120BF"/>
    <w:rPr>
      <w:color w:val="000000"/>
      <w:sz w:val="22"/>
      <w:szCs w:val="22"/>
    </w:rPr>
  </w:style>
  <w:style w:type="character" w:customStyle="1" w:styleId="EndnoteTextChar1">
    <w:name w:val="Endnote Text Char1"/>
    <w:uiPriority w:val="99"/>
    <w:rsid w:val="00D120BF"/>
    <w:rPr>
      <w:rFonts w:ascii="Calibri" w:hAnsi="Calibri" w:cs="Calibri"/>
      <w:lang w:val="en-ZA" w:eastAsia="en-US"/>
    </w:rPr>
  </w:style>
  <w:style w:type="character" w:customStyle="1" w:styleId="marrontitulobig">
    <w:name w:val="marron_titulo_big"/>
    <w:uiPriority w:val="99"/>
    <w:rsid w:val="00D120BF"/>
  </w:style>
  <w:style w:type="paragraph" w:customStyle="1" w:styleId="Text0">
    <w:name w:val="Text"/>
    <w:basedOn w:val="Normal"/>
    <w:uiPriority w:val="99"/>
    <w:rsid w:val="00D120BF"/>
    <w:pPr>
      <w:tabs>
        <w:tab w:val="left" w:pos="709"/>
        <w:tab w:val="left" w:pos="993"/>
        <w:tab w:val="left" w:pos="1276"/>
        <w:tab w:val="left" w:pos="1560"/>
        <w:tab w:val="left" w:pos="1843"/>
      </w:tabs>
      <w:spacing w:after="240" w:line="280" w:lineRule="atLeast"/>
      <w:ind w:left="567" w:right="567"/>
    </w:pPr>
    <w:rPr>
      <w:rFonts w:ascii="CG Omega" w:hAnsi="CG Omega" w:cs="CG Omega"/>
    </w:rPr>
  </w:style>
  <w:style w:type="paragraph" w:styleId="BodyText2">
    <w:name w:val="Body Text 2"/>
    <w:basedOn w:val="Normal"/>
    <w:link w:val="BodyText2Char"/>
    <w:uiPriority w:val="99"/>
    <w:rsid w:val="00D120BF"/>
    <w:pPr>
      <w:spacing w:after="200"/>
    </w:pPr>
    <w:rPr>
      <w:sz w:val="22"/>
      <w:szCs w:val="22"/>
    </w:rPr>
  </w:style>
  <w:style w:type="character" w:customStyle="1" w:styleId="BodyText2Char">
    <w:name w:val="Body Text 2 Char"/>
    <w:basedOn w:val="DefaultParagraphFont"/>
    <w:link w:val="BodyText2"/>
    <w:uiPriority w:val="99"/>
    <w:rsid w:val="00D120BF"/>
    <w:rPr>
      <w:rFonts w:ascii="Arial" w:hAnsi="Arial" w:cs="Arial"/>
      <w:sz w:val="20"/>
      <w:szCs w:val="20"/>
      <w:lang w:val="en-GB"/>
    </w:rPr>
  </w:style>
  <w:style w:type="paragraph" w:styleId="BodyText">
    <w:name w:val="Body Text"/>
    <w:basedOn w:val="Normal"/>
    <w:link w:val="BodyTextChar"/>
    <w:uiPriority w:val="99"/>
    <w:rsid w:val="00D120BF"/>
    <w:rPr>
      <w:sz w:val="22"/>
      <w:szCs w:val="22"/>
      <w:lang w:val="en-ZA" w:eastAsia="en-ZA"/>
    </w:rPr>
  </w:style>
  <w:style w:type="character" w:customStyle="1" w:styleId="BodyTextChar">
    <w:name w:val="Body Text Char"/>
    <w:basedOn w:val="DefaultParagraphFont"/>
    <w:link w:val="BodyText"/>
    <w:uiPriority w:val="99"/>
    <w:rsid w:val="00D120BF"/>
    <w:rPr>
      <w:rFonts w:ascii="Arial" w:hAnsi="Arial" w:cs="Arial"/>
      <w:sz w:val="20"/>
      <w:szCs w:val="20"/>
      <w:lang w:val="en-GB"/>
    </w:rPr>
  </w:style>
  <w:style w:type="paragraph" w:styleId="Caption">
    <w:name w:val="caption"/>
    <w:basedOn w:val="Normal"/>
    <w:next w:val="Normal"/>
    <w:uiPriority w:val="99"/>
    <w:qFormat/>
    <w:rsid w:val="00D120BF"/>
    <w:pPr>
      <w:spacing w:before="120" w:after="120"/>
    </w:pPr>
    <w:rPr>
      <w:rFonts w:ascii="Trebuchet MS" w:hAnsi="Trebuchet MS" w:cs="Trebuchet MS"/>
      <w:b/>
      <w:bCs/>
      <w:sz w:val="22"/>
      <w:szCs w:val="22"/>
      <w:lang w:val="en-US"/>
    </w:rPr>
  </w:style>
  <w:style w:type="paragraph" w:styleId="BodyText3">
    <w:name w:val="Body Text 3"/>
    <w:basedOn w:val="Normal"/>
    <w:link w:val="BodyText3Char"/>
    <w:uiPriority w:val="99"/>
    <w:rsid w:val="00D120BF"/>
    <w:pPr>
      <w:tabs>
        <w:tab w:val="left" w:pos="540"/>
      </w:tabs>
    </w:pPr>
    <w:rPr>
      <w:sz w:val="22"/>
      <w:szCs w:val="22"/>
      <w:lang w:val="en-US"/>
    </w:rPr>
  </w:style>
  <w:style w:type="character" w:customStyle="1" w:styleId="BodyText3Char">
    <w:name w:val="Body Text 3 Char"/>
    <w:basedOn w:val="DefaultParagraphFont"/>
    <w:link w:val="BodyText3"/>
    <w:uiPriority w:val="99"/>
    <w:rsid w:val="00D120BF"/>
    <w:rPr>
      <w:rFonts w:ascii="Arial" w:hAnsi="Arial" w:cs="Arial"/>
      <w:sz w:val="16"/>
      <w:szCs w:val="16"/>
      <w:lang w:val="en-GB"/>
    </w:rPr>
  </w:style>
  <w:style w:type="character" w:customStyle="1" w:styleId="vdur">
    <w:name w:val="vdur"/>
    <w:basedOn w:val="DefaultParagraphFont"/>
    <w:rsid w:val="00EE12BC"/>
  </w:style>
</w:styles>
</file>

<file path=word/webSettings.xml><?xml version="1.0" encoding="utf-8"?>
<w:webSettings xmlns:r="http://schemas.openxmlformats.org/officeDocument/2006/relationships" xmlns:w="http://schemas.openxmlformats.org/wordprocessingml/2006/main">
  <w:divs>
    <w:div w:id="384334754">
      <w:bodyDiv w:val="1"/>
      <w:marLeft w:val="0"/>
      <w:marRight w:val="0"/>
      <w:marTop w:val="0"/>
      <w:marBottom w:val="0"/>
      <w:divBdr>
        <w:top w:val="none" w:sz="0" w:space="0" w:color="auto"/>
        <w:left w:val="none" w:sz="0" w:space="0" w:color="auto"/>
        <w:bottom w:val="none" w:sz="0" w:space="0" w:color="auto"/>
        <w:right w:val="none" w:sz="0" w:space="0" w:color="auto"/>
      </w:divBdr>
      <w:divsChild>
        <w:div w:id="1870680299">
          <w:marLeft w:val="0"/>
          <w:marRight w:val="0"/>
          <w:marTop w:val="0"/>
          <w:marBottom w:val="0"/>
          <w:divBdr>
            <w:top w:val="none" w:sz="0" w:space="0" w:color="auto"/>
            <w:left w:val="none" w:sz="0" w:space="0" w:color="auto"/>
            <w:bottom w:val="none" w:sz="0" w:space="0" w:color="auto"/>
            <w:right w:val="none" w:sz="0" w:space="0" w:color="auto"/>
          </w:divBdr>
          <w:divsChild>
            <w:div w:id="704211578">
              <w:marLeft w:val="0"/>
              <w:marRight w:val="0"/>
              <w:marTop w:val="0"/>
              <w:marBottom w:val="0"/>
              <w:divBdr>
                <w:top w:val="none" w:sz="0" w:space="0" w:color="auto"/>
                <w:left w:val="none" w:sz="0" w:space="0" w:color="auto"/>
                <w:bottom w:val="none" w:sz="0" w:space="0" w:color="auto"/>
                <w:right w:val="none" w:sz="0" w:space="0" w:color="auto"/>
              </w:divBdr>
            </w:div>
          </w:divsChild>
        </w:div>
        <w:div w:id="1973557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bs.org/now/science/climatechange.html" TargetMode="External"/><Relationship Id="rId21" Type="http://schemas.openxmlformats.org/officeDocument/2006/relationships/hyperlink" Target="http://www.fao.org/worldfoodsituation/wfs-home/foodpricesindex/en/" TargetMode="External"/><Relationship Id="rId42" Type="http://schemas.openxmlformats.org/officeDocument/2006/relationships/hyperlink" Target="ftp://ftp.fao.org/docrep/fao/009/a0442e/a0442e00.pdf" TargetMode="External"/><Relationship Id="rId47" Type="http://schemas.openxmlformats.org/officeDocument/2006/relationships/hyperlink" Target="http://www.unicef.org/sowc98/silent4.htm" TargetMode="External"/><Relationship Id="rId63" Type="http://schemas.openxmlformats.org/officeDocument/2006/relationships/hyperlink" Target="http://www.contractpharma.com/contents/view_top-companies-report/2011-07-14/04-merck-serono---2011-top-10-biopharma-report/" TargetMode="External"/><Relationship Id="rId68" Type="http://schemas.openxmlformats.org/officeDocument/2006/relationships/hyperlink" Target="http://www.contractpharma.com/contents/view_top-companies-report/2011-07-14/06-biogen---2011-top-10-biopharma-report/" TargetMode="External"/><Relationship Id="rId84" Type="http://schemas.openxmlformats.org/officeDocument/2006/relationships/hyperlink" Target="http://www.aljazeera.com/indepth/opinion/2011/06/201162994039172374.html" TargetMode="External"/><Relationship Id="rId89" Type="http://schemas.openxmlformats.org/officeDocument/2006/relationships/image" Target="media/image23.jpeg"/><Relationship Id="rId7" Type="http://schemas.openxmlformats.org/officeDocument/2006/relationships/hyperlink" Target="http://news.bbc.co.uk/2/hi/7725157.stm" TargetMode="External"/><Relationship Id="rId71" Type="http://schemas.openxmlformats.org/officeDocument/2006/relationships/hyperlink" Target="http://www.contractpharma.com/contents/view_top-companies-report/2011-07-14/07-csl---2011-top-10-biopharma-report/" TargetMode="External"/><Relationship Id="rId92" Type="http://schemas.openxmlformats.org/officeDocument/2006/relationships/hyperlink" Target="http://www.globalresearch.ca/index.php?context=va&amp;aid=14884"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www.trust.org/alertnet/news/invest-in-african-farmers-to-aid-world-food-security-annan/" TargetMode="External"/><Relationship Id="rId11" Type="http://schemas.openxmlformats.org/officeDocument/2006/relationships/image" Target="media/image3.emf"/><Relationship Id="rId24" Type="http://schemas.openxmlformats.org/officeDocument/2006/relationships/hyperlink" Target="http://www.focusweb.org/popups/articleswindow.php?id=34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emf"/><Relationship Id="rId45" Type="http://schemas.openxmlformats.org/officeDocument/2006/relationships/hyperlink" Target="http://www.savethechildren.org/atf/cf/%7B9def2ebe-10ae-432c-9bd0-df91d2eba74a%7D/A%20LIFE%20FREE%20FROM%20HUNGER%20-%20TACKLING%20CHILD%20MALNUTRITION.PDF" TargetMode="External"/><Relationship Id="rId53" Type="http://schemas.openxmlformats.org/officeDocument/2006/relationships/hyperlink" Target="http://www.contractpharma.com/contents/view_top-companies-report/2011-07-14/01-f-hoffman-la-roche---2011-top-10-biopharma-report/" TargetMode="External"/><Relationship Id="rId58" Type="http://schemas.openxmlformats.org/officeDocument/2006/relationships/hyperlink" Target="http://www.contractpharma.com/contents/view_top-companies-report/2011-07-14/03-novo-nordisk---2011-top-10-biopharma-report/" TargetMode="External"/><Relationship Id="rId66" Type="http://schemas.openxmlformats.org/officeDocument/2006/relationships/hyperlink" Target="http://www.contractpharma.com/contents/view_top-companies-report/2011-07-14/05-baxter-bioscience---2011-top-10-biopharma-report/" TargetMode="External"/><Relationship Id="rId74" Type="http://schemas.openxmlformats.org/officeDocument/2006/relationships/hyperlink" Target="http://www.contractpharma.com/contents/view_top-companies-report/2011-07-14/08-genzyme---2011-top-10-biopharma-report/" TargetMode="External"/><Relationship Id="rId79" Type="http://schemas.openxmlformats.org/officeDocument/2006/relationships/hyperlink" Target="http://www.contractpharma.com/contents/view_top-companies-report/2011-07-15/10-alexion---2011-top-10-biopharma-report/" TargetMode="External"/><Relationship Id="rId87" Type="http://schemas.openxmlformats.org/officeDocument/2006/relationships/image" Target="media/image21.jpeg"/><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www.contractpharma.com/contents/view_top-companies-report/2011-07-14/04-merck-serono---2011-top-10-biopharma-report/" TargetMode="External"/><Relationship Id="rId82" Type="http://schemas.openxmlformats.org/officeDocument/2006/relationships/hyperlink" Target="http://profitshastra.blogspot.com/2010/01/pharmaceutical-industry.html" TargetMode="External"/><Relationship Id="rId90" Type="http://schemas.openxmlformats.org/officeDocument/2006/relationships/hyperlink" Target="http://www.biomedcentral.com/1758-2652/14/15" TargetMode="External"/><Relationship Id="rId95" Type="http://schemas.openxmlformats.org/officeDocument/2006/relationships/hyperlink" Target="http://www.twnside.org.sg/title2/intellectual_property/info.service/2010/ipr.info.100504.htm" TargetMode="External"/><Relationship Id="rId19" Type="http://schemas.openxmlformats.org/officeDocument/2006/relationships/image" Target="media/image8.emf"/><Relationship Id="rId14" Type="http://schemas.openxmlformats.org/officeDocument/2006/relationships/hyperlink" Target="http://www.wto.org/english/thewto_e/glossary_e/glossary_e.htm" TargetMode="External"/><Relationship Id="rId22" Type="http://schemas.openxmlformats.org/officeDocument/2006/relationships/hyperlink" Target="http://www.fao.org/worldfoodsituation/wfs-home/foodpricesindex/en/" TargetMode="External"/><Relationship Id="rId27" Type="http://schemas.openxmlformats.org/officeDocument/2006/relationships/hyperlink" Target="http://www.globalissues.org/article/438/wto-meeting-in-cancun-mexico-2003" TargetMode="External"/><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hyperlink" Target="http://www.health24.com/dietnfood/DietDocs_articles/15-1871,58316.asp" TargetMode="External"/><Relationship Id="rId48" Type="http://schemas.openxmlformats.org/officeDocument/2006/relationships/hyperlink" Target="http://www.who.int/nutrition/en/" TargetMode="External"/><Relationship Id="rId56" Type="http://schemas.openxmlformats.org/officeDocument/2006/relationships/hyperlink" Target="http://www.contractpharma.com/contents/view_top-companies-report/2011-07-14/02-amgen---2011-top-10-biopharma-report/" TargetMode="External"/><Relationship Id="rId64" Type="http://schemas.openxmlformats.org/officeDocument/2006/relationships/hyperlink" Target="http://www.contractpharma.com/contents/view_top-companies-report/2011-07-14/05-baxter-bioscience---2011-top-10-biopharma-report/" TargetMode="External"/><Relationship Id="rId69" Type="http://schemas.openxmlformats.org/officeDocument/2006/relationships/hyperlink" Target="http://www.contractpharma.com/contents/view_top-companies-report/2011-07-14/06-biogen---2011-top-10-biopharma-report/" TargetMode="External"/><Relationship Id="rId77" Type="http://schemas.openxmlformats.org/officeDocument/2006/relationships/hyperlink" Target="http://www.contractpharma.com/contents/view_top-companies-report/2011-07-15/09-allergan---2011-top-10-biopharma-report/" TargetMode="External"/><Relationship Id="rId100" Type="http://schemas.openxmlformats.org/officeDocument/2006/relationships/hyperlink" Target="http://data.unaids.org/publications/irc-pub06/epiupdate98_en.pdf" TargetMode="External"/><Relationship Id="rId8" Type="http://schemas.openxmlformats.org/officeDocument/2006/relationships/image" Target="media/image1.emf"/><Relationship Id="rId51" Type="http://schemas.openxmlformats.org/officeDocument/2006/relationships/hyperlink" Target="http://www.worldmapper.org/atozindex.html" TargetMode="External"/><Relationship Id="rId72" Type="http://schemas.openxmlformats.org/officeDocument/2006/relationships/hyperlink" Target="http://www.contractpharma.com/contents/view_top-companies-report/2011-07-14/07-csl---2011-top-10-biopharma-report/" TargetMode="External"/><Relationship Id="rId80" Type="http://schemas.openxmlformats.org/officeDocument/2006/relationships/hyperlink" Target="http://www.contractpharma.com/contents/view_top-companies-report/2011-07-15/10-alexion---2011-top-10-biopharma-report/" TargetMode="External"/><Relationship Id="rId85" Type="http://schemas.openxmlformats.org/officeDocument/2006/relationships/image" Target="media/image20.emf"/><Relationship Id="rId93" Type="http://schemas.openxmlformats.org/officeDocument/2006/relationships/hyperlink" Target="http://www.guardian.co.uk/business/2011/nov/21/pharmaceuticals-drug-research-costs-rise" TargetMode="External"/><Relationship Id="rId98" Type="http://schemas.openxmlformats.org/officeDocument/2006/relationships/hyperlink" Target="http://www.unaids.org/globalreport/Global_report.ht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globalissues.org/article/438/wto-meeting-in-cancun-mexico-2003" TargetMode="External"/><Relationship Id="rId33" Type="http://schemas.openxmlformats.org/officeDocument/2006/relationships/image" Target="media/image13.emf"/><Relationship Id="rId38" Type="http://schemas.openxmlformats.org/officeDocument/2006/relationships/hyperlink" Target="http://faostat.fao.org/countryprofiles/index.asp?subj=48iso3=ALB" TargetMode="External"/><Relationship Id="rId46" Type="http://schemas.openxmlformats.org/officeDocument/2006/relationships/hyperlink" Target="http://www.thelancet.com/journals/lancet/issue/vol371no9620/PIIS0140-6736%2808%29X6017-9" TargetMode="External"/><Relationship Id="rId59" Type="http://schemas.openxmlformats.org/officeDocument/2006/relationships/hyperlink" Target="http://www.contractpharma.com/contents/view_top-companies-report/2011-07-14/03-novo-nordisk---2011-top-10-biopharma-report/" TargetMode="External"/><Relationship Id="rId67" Type="http://schemas.openxmlformats.org/officeDocument/2006/relationships/hyperlink" Target="http://www.contractpharma.com/contents/view_top-companies-report/2011-07-14/06-biogen---2011-top-10-biopharma-report/" TargetMode="External"/><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www.youtube.com/watch?v=2NuKXkioCUs" TargetMode="External"/><Relationship Id="rId54" Type="http://schemas.openxmlformats.org/officeDocument/2006/relationships/hyperlink" Target="http://www.contractpharma.com/contents/view_top-companies-report/2011-07-14/01-f-hoffman-la-roche---2011-top-10-biopharma-report/" TargetMode="External"/><Relationship Id="rId62" Type="http://schemas.openxmlformats.org/officeDocument/2006/relationships/hyperlink" Target="http://www.contractpharma.com/contents/view_top-companies-report/2011-07-14/04-merck-serono---2011-top-10-biopharma-report/" TargetMode="External"/><Relationship Id="rId70" Type="http://schemas.openxmlformats.org/officeDocument/2006/relationships/hyperlink" Target="http://www.contractpharma.com/contents/view_top-companies-report/2011-07-14/07-csl---2011-top-10-biopharma-report/" TargetMode="External"/><Relationship Id="rId75" Type="http://schemas.openxmlformats.org/officeDocument/2006/relationships/hyperlink" Target="http://www.contractpharma.com/contents/view_top-companies-report/2011-07-14/08-genzyme---2011-top-10-biopharma-report/" TargetMode="External"/><Relationship Id="rId83" Type="http://schemas.openxmlformats.org/officeDocument/2006/relationships/hyperlink" Target="http://www.aljazeera.com/indepth/opinion/2011/06/20116297573191484.html" TargetMode="External"/><Relationship Id="rId88" Type="http://schemas.openxmlformats.org/officeDocument/2006/relationships/image" Target="media/image22.emf"/><Relationship Id="rId91" Type="http://schemas.openxmlformats.org/officeDocument/2006/relationships/hyperlink" Target="http://www.avert.org/hiv-aids-history.htm" TargetMode="External"/><Relationship Id="rId96" Type="http://schemas.openxmlformats.org/officeDocument/2006/relationships/hyperlink" Target="http://www.contractpharma.com/issues/2011-07/view_features/the-top-20-pharmaceutical-compani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bs.org/now/science/climatechange.html" TargetMode="External"/><Relationship Id="rId23" Type="http://schemas.openxmlformats.org/officeDocument/2006/relationships/hyperlink" Target="http://digitalcommons.macalester.edu/macintl/vol7/iss1/7" TargetMode="External"/><Relationship Id="rId28" Type="http://schemas.openxmlformats.org/officeDocument/2006/relationships/hyperlink" Target="http://www.worldbank.org/foodcrisis/foodpricewatch/april_2011.html" TargetMode="External"/><Relationship Id="rId36" Type="http://schemas.openxmlformats.org/officeDocument/2006/relationships/image" Target="media/image16.emf"/><Relationship Id="rId49" Type="http://schemas.openxmlformats.org/officeDocument/2006/relationships/hyperlink" Target="http://www.biomedcentral.com/1758-2652/14/15" TargetMode="External"/><Relationship Id="rId57" Type="http://schemas.openxmlformats.org/officeDocument/2006/relationships/hyperlink" Target="http://www.contractpharma.com/contents/view_top-companies-report/2011-07-14/02-amgen---2011-top-10-biopharma-report/" TargetMode="Externa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yperlink" Target="http://www.africafiles.org/article.asp?ID=3648" TargetMode="External"/><Relationship Id="rId52" Type="http://schemas.openxmlformats.org/officeDocument/2006/relationships/hyperlink" Target="http://www.contractpharma.com/contents/view_top-companies-report/2011-07-14/01-f-hoffman-la-roche---2011-top-10-biopharma-report/" TargetMode="External"/><Relationship Id="rId60" Type="http://schemas.openxmlformats.org/officeDocument/2006/relationships/hyperlink" Target="http://www.contractpharma.com/contents/view_top-companies-report/2011-07-14/03-novo-nordisk---2011-top-10-biopharma-report/" TargetMode="External"/><Relationship Id="rId65" Type="http://schemas.openxmlformats.org/officeDocument/2006/relationships/hyperlink" Target="http://www.contractpharma.com/contents/view_top-companies-report/2011-07-14/05-baxter-bioscience---2011-top-10-biopharma-report/" TargetMode="External"/><Relationship Id="rId73" Type="http://schemas.openxmlformats.org/officeDocument/2006/relationships/hyperlink" Target="http://www.contractpharma.com/contents/view_top-companies-report/2011-07-14/08-genzyme---2011-top-10-biopharma-report/" TargetMode="External"/><Relationship Id="rId78" Type="http://schemas.openxmlformats.org/officeDocument/2006/relationships/hyperlink" Target="http://www.contractpharma.com/contents/view_top-companies-report/2011-07-15/09-allergan---2011-top-10-biopharma-report/" TargetMode="External"/><Relationship Id="rId81" Type="http://schemas.openxmlformats.org/officeDocument/2006/relationships/hyperlink" Target="http://www.contractpharma.com/contents/view_top-companies-report/2011-07-15/10-alexion---2011-top-10-biopharma-report/" TargetMode="External"/><Relationship Id="rId86" Type="http://schemas.openxmlformats.org/officeDocument/2006/relationships/hyperlink" Target="http://www.worldmapper.org/atozindex.html" TargetMode="External"/><Relationship Id="rId94" Type="http://schemas.openxmlformats.org/officeDocument/2006/relationships/hyperlink" Target="http://www.plusnews.org/report.aspx?ReportID=93275" TargetMode="External"/><Relationship Id="rId99" Type="http://schemas.openxmlformats.org/officeDocument/2006/relationships/hyperlink" Target="http://www.unaids.org/en/resources/presscentre/pressreleaseandstatementarchive/2011/november/20111121wad2011report/" TargetMode="External"/><Relationship Id="rId101" Type="http://schemas.openxmlformats.org/officeDocument/2006/relationships/hyperlink" Target="http://www.wto.org/english/tratop_e/trips_e/factsheet_pharm00_e.htm" TargetMode="External"/><Relationship Id="rId4" Type="http://schemas.openxmlformats.org/officeDocument/2006/relationships/webSettings" Target="webSettings.xml"/><Relationship Id="rId9" Type="http://schemas.openxmlformats.org/officeDocument/2006/relationships/hyperlink" Target="http://news.bbc.co.uk/2/hi/7725157.stm" TargetMode="External"/><Relationship Id="rId13" Type="http://schemas.openxmlformats.org/officeDocument/2006/relationships/image" Target="media/image5.png"/><Relationship Id="rId18" Type="http://schemas.openxmlformats.org/officeDocument/2006/relationships/hyperlink" Target="http://www.pbs.org/now/science/climatechange.html" TargetMode="External"/><Relationship Id="rId39" Type="http://schemas.openxmlformats.org/officeDocument/2006/relationships/hyperlink" Target="http://www.trust.org/alertnet/news/invest-in-african-farmers-to-aid-world-food-security-annan/" TargetMode="External"/><Relationship Id="rId34" Type="http://schemas.openxmlformats.org/officeDocument/2006/relationships/image" Target="media/image14.png"/><Relationship Id="rId50" Type="http://schemas.openxmlformats.org/officeDocument/2006/relationships/image" Target="media/image19.png"/><Relationship Id="rId55" Type="http://schemas.openxmlformats.org/officeDocument/2006/relationships/hyperlink" Target="http://www.contractpharma.com/contents/view_top-companies-report/2011-07-14/02-amgen---2011-top-10-biopharma-report/" TargetMode="External"/><Relationship Id="rId76" Type="http://schemas.openxmlformats.org/officeDocument/2006/relationships/hyperlink" Target="http://www.contractpharma.com/contents/view_top-companies-report/2011-07-15/09-allergan---2011-top-10-biopharma-report/" TargetMode="External"/><Relationship Id="rId97" Type="http://schemas.openxmlformats.org/officeDocument/2006/relationships/hyperlink" Target="http://www.un.org/millenniumgoals/pdf/MDG%20Report%202010%20En%20r15%20-low%20res%2020100615%20-.pdf"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1</Pages>
  <Words>24165</Words>
  <Characters>137741</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Globalisation and its impact on health </vt:lpstr>
    </vt:vector>
  </TitlesOfParts>
  <Company/>
  <LinksUpToDate>false</LinksUpToDate>
  <CharactersWithSpaces>161583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Globalisation and its impact on health </dc:title>
  <dc:subject/>
  <dc:creator>Hutton</dc:creator>
  <cp:keywords/>
  <dc:description/>
  <cp:lastModifiedBy>Your User Name</cp:lastModifiedBy>
  <cp:revision>62</cp:revision>
  <cp:lastPrinted>2012-12-20T14:13:00Z</cp:lastPrinted>
  <dcterms:created xsi:type="dcterms:W3CDTF">2012-09-04T13:51:00Z</dcterms:created>
  <dcterms:modified xsi:type="dcterms:W3CDTF">2012-12-20T14:13:00Z</dcterms:modified>
</cp:coreProperties>
</file>